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6"/>
        </w:rPr>
      </w:pPr>
    </w:p>
    <w:p>
      <w:pPr>
        <w:tabs>
          <w:tab w:pos="1648" w:val="left" w:leader="none"/>
          <w:tab w:pos="2527" w:val="left" w:leader="none"/>
          <w:tab w:pos="3369" w:val="left" w:leader="none"/>
          <w:tab w:pos="4226" w:val="left" w:leader="none"/>
          <w:tab w:pos="5097" w:val="left" w:leader="none"/>
          <w:tab w:pos="5932" w:val="left" w:leader="none"/>
          <w:tab w:pos="6804" w:val="left" w:leader="none"/>
          <w:tab w:pos="7660" w:val="left" w:leader="none"/>
          <w:tab w:pos="8517" w:val="left" w:leader="none"/>
        </w:tabs>
        <w:spacing w:line="240" w:lineRule="auto"/>
        <w:ind w:left="792" w:right="0" w:firstLine="0"/>
        <w:rPr>
          <w:rFonts w:ascii="Times New Roman"/>
          <w:sz w:val="20"/>
        </w:rPr>
      </w:pPr>
      <w:r>
        <w:rPr>
          <w:rFonts w:ascii="Times New Roman"/>
          <w:position w:val="6"/>
          <w:sz w:val="20"/>
        </w:rPr>
        <w:drawing>
          <wp:inline distT="0" distB="0" distL="0" distR="0">
            <wp:extent cx="402335" cy="420624"/>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02335" cy="420624"/>
                    </a:xfrm>
                    <a:prstGeom prst="rect">
                      <a:avLst/>
                    </a:prstGeom>
                  </pic:spPr>
                </pic:pic>
              </a:graphicData>
            </a:graphic>
          </wp:inline>
        </w:drawing>
      </w:r>
      <w:r>
        <w:rPr>
          <w:rFonts w:ascii="Times New Roman"/>
          <w:position w:val="6"/>
          <w:sz w:val="20"/>
        </w:rPr>
      </w:r>
      <w:r>
        <w:rPr>
          <w:rFonts w:ascii="Times New Roman"/>
          <w:position w:val="6"/>
          <w:sz w:val="20"/>
        </w:rPr>
        <w:tab/>
      </w:r>
      <w:r>
        <w:rPr>
          <w:rFonts w:ascii="Times New Roman"/>
          <w:position w:val="4"/>
          <w:sz w:val="20"/>
        </w:rPr>
        <w:drawing>
          <wp:inline distT="0" distB="0" distL="0" distR="0">
            <wp:extent cx="411479" cy="425196"/>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411479" cy="425196"/>
                    </a:xfrm>
                    <a:prstGeom prst="rect">
                      <a:avLst/>
                    </a:prstGeom>
                  </pic:spPr>
                </pic:pic>
              </a:graphicData>
            </a:graphic>
          </wp:inline>
        </w:drawing>
      </w:r>
      <w:r>
        <w:rPr>
          <w:rFonts w:ascii="Times New Roman"/>
          <w:position w:val="4"/>
          <w:sz w:val="20"/>
        </w:rPr>
      </w:r>
      <w:r>
        <w:rPr>
          <w:rFonts w:ascii="Times New Roman"/>
          <w:position w:val="4"/>
          <w:sz w:val="20"/>
        </w:rPr>
        <w:tab/>
      </w:r>
      <w:r>
        <w:rPr>
          <w:rFonts w:ascii="Times New Roman"/>
          <w:position w:val="6"/>
          <w:sz w:val="20"/>
        </w:rPr>
        <w:drawing>
          <wp:inline distT="0" distB="0" distL="0" distR="0">
            <wp:extent cx="388620" cy="416051"/>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88620" cy="416051"/>
                    </a:xfrm>
                    <a:prstGeom prst="rect">
                      <a:avLst/>
                    </a:prstGeom>
                  </pic:spPr>
                </pic:pic>
              </a:graphicData>
            </a:graphic>
          </wp:inline>
        </w:drawing>
      </w:r>
      <w:r>
        <w:rPr>
          <w:rFonts w:ascii="Times New Roman"/>
          <w:position w:val="6"/>
          <w:sz w:val="20"/>
        </w:rPr>
      </w:r>
      <w:r>
        <w:rPr>
          <w:rFonts w:ascii="Times New Roman"/>
          <w:position w:val="6"/>
          <w:sz w:val="20"/>
        </w:rPr>
        <w:tab/>
      </w:r>
      <w:r>
        <w:rPr>
          <w:rFonts w:ascii="Times New Roman"/>
          <w:position w:val="9"/>
          <w:sz w:val="20"/>
        </w:rPr>
        <w:drawing>
          <wp:inline distT="0" distB="0" distL="0" distR="0">
            <wp:extent cx="406907" cy="365759"/>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406907" cy="365759"/>
                    </a:xfrm>
                    <a:prstGeom prst="rect">
                      <a:avLst/>
                    </a:prstGeom>
                  </pic:spPr>
                </pic:pic>
              </a:graphicData>
            </a:graphic>
          </wp:inline>
        </w:drawing>
      </w:r>
      <w:r>
        <w:rPr>
          <w:rFonts w:ascii="Times New Roman"/>
          <w:position w:val="9"/>
          <w:sz w:val="20"/>
        </w:rPr>
      </w:r>
      <w:r>
        <w:rPr>
          <w:rFonts w:ascii="Times New Roman"/>
          <w:position w:val="9"/>
          <w:sz w:val="20"/>
        </w:rPr>
        <w:tab/>
      </w:r>
      <w:r>
        <w:rPr>
          <w:rFonts w:ascii="Times New Roman"/>
          <w:position w:val="6"/>
          <w:sz w:val="20"/>
        </w:rPr>
        <w:drawing>
          <wp:inline distT="0" distB="0" distL="0" distR="0">
            <wp:extent cx="402336" cy="402335"/>
            <wp:effectExtent l="0" t="0" r="0" b="0"/>
            <wp:docPr id="9" name="image5.png"/>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402336" cy="402335"/>
                    </a:xfrm>
                    <a:prstGeom prst="rect">
                      <a:avLst/>
                    </a:prstGeom>
                  </pic:spPr>
                </pic:pic>
              </a:graphicData>
            </a:graphic>
          </wp:inline>
        </w:drawing>
      </w:r>
      <w:r>
        <w:rPr>
          <w:rFonts w:ascii="Times New Roman"/>
          <w:position w:val="6"/>
          <w:sz w:val="20"/>
        </w:rPr>
      </w:r>
      <w:r>
        <w:rPr>
          <w:rFonts w:ascii="Times New Roman"/>
          <w:position w:val="6"/>
          <w:sz w:val="20"/>
        </w:rPr>
        <w:tab/>
      </w:r>
      <w:r>
        <w:rPr>
          <w:rFonts w:ascii="Times New Roman"/>
          <w:position w:val="4"/>
          <w:sz w:val="20"/>
        </w:rPr>
        <w:drawing>
          <wp:inline distT="0" distB="0" distL="0" distR="0">
            <wp:extent cx="393192" cy="411479"/>
            <wp:effectExtent l="0" t="0" r="0" b="0"/>
            <wp:docPr id="11" name="image6.png"/>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393192" cy="411479"/>
                    </a:xfrm>
                    <a:prstGeom prst="rect">
                      <a:avLst/>
                    </a:prstGeom>
                  </pic:spPr>
                </pic:pic>
              </a:graphicData>
            </a:graphic>
          </wp:inline>
        </w:drawing>
      </w:r>
      <w:r>
        <w:rPr>
          <w:rFonts w:ascii="Times New Roman"/>
          <w:position w:val="4"/>
          <w:sz w:val="20"/>
        </w:rPr>
      </w:r>
      <w:r>
        <w:rPr>
          <w:rFonts w:ascii="Times New Roman"/>
          <w:position w:val="4"/>
          <w:sz w:val="20"/>
        </w:rPr>
        <w:tab/>
      </w:r>
      <w:r>
        <w:rPr>
          <w:rFonts w:ascii="Times New Roman"/>
          <w:position w:val="3"/>
          <w:sz w:val="20"/>
        </w:rPr>
        <w:drawing>
          <wp:inline distT="0" distB="0" distL="0" distR="0">
            <wp:extent cx="416052" cy="420624"/>
            <wp:effectExtent l="0" t="0" r="0" b="0"/>
            <wp:docPr id="13" name="image7.png"/>
            <wp:cNvGraphicFramePr>
              <a:graphicFrameLocks noChangeAspect="1"/>
            </wp:cNvGraphicFramePr>
            <a:graphic>
              <a:graphicData uri="http://schemas.openxmlformats.org/drawingml/2006/picture">
                <pic:pic>
                  <pic:nvPicPr>
                    <pic:cNvPr id="14" name="image7.png"/>
                    <pic:cNvPicPr/>
                  </pic:nvPicPr>
                  <pic:blipFill>
                    <a:blip r:embed="rId11" cstate="print"/>
                    <a:stretch>
                      <a:fillRect/>
                    </a:stretch>
                  </pic:blipFill>
                  <pic:spPr>
                    <a:xfrm>
                      <a:off x="0" y="0"/>
                      <a:ext cx="416052" cy="420624"/>
                    </a:xfrm>
                    <a:prstGeom prst="rect">
                      <a:avLst/>
                    </a:prstGeom>
                  </pic:spPr>
                </pic:pic>
              </a:graphicData>
            </a:graphic>
          </wp:inline>
        </w:drawing>
      </w:r>
      <w:r>
        <w:rPr>
          <w:rFonts w:ascii="Times New Roman"/>
          <w:position w:val="3"/>
          <w:sz w:val="20"/>
        </w:rPr>
      </w:r>
      <w:r>
        <w:rPr>
          <w:rFonts w:ascii="Times New Roman"/>
          <w:position w:val="3"/>
          <w:sz w:val="20"/>
        </w:rPr>
        <w:tab/>
      </w:r>
      <w:r>
        <w:rPr>
          <w:rFonts w:ascii="Times New Roman"/>
          <w:position w:val="3"/>
          <w:sz w:val="20"/>
        </w:rPr>
        <w:drawing>
          <wp:inline distT="0" distB="0" distL="0" distR="0">
            <wp:extent cx="388619" cy="411479"/>
            <wp:effectExtent l="0" t="0" r="0" b="0"/>
            <wp:docPr id="15" name="image8.png"/>
            <wp:cNvGraphicFramePr>
              <a:graphicFrameLocks noChangeAspect="1"/>
            </wp:cNvGraphicFramePr>
            <a:graphic>
              <a:graphicData uri="http://schemas.openxmlformats.org/drawingml/2006/picture">
                <pic:pic>
                  <pic:nvPicPr>
                    <pic:cNvPr id="16" name="image8.png"/>
                    <pic:cNvPicPr/>
                  </pic:nvPicPr>
                  <pic:blipFill>
                    <a:blip r:embed="rId12" cstate="print"/>
                    <a:stretch>
                      <a:fillRect/>
                    </a:stretch>
                  </pic:blipFill>
                  <pic:spPr>
                    <a:xfrm>
                      <a:off x="0" y="0"/>
                      <a:ext cx="388619" cy="411479"/>
                    </a:xfrm>
                    <a:prstGeom prst="rect">
                      <a:avLst/>
                    </a:prstGeom>
                  </pic:spPr>
                </pic:pic>
              </a:graphicData>
            </a:graphic>
          </wp:inline>
        </w:drawing>
      </w:r>
      <w:r>
        <w:rPr>
          <w:rFonts w:ascii="Times New Roman"/>
          <w:position w:val="3"/>
          <w:sz w:val="20"/>
        </w:rPr>
      </w:r>
      <w:r>
        <w:rPr>
          <w:rFonts w:ascii="Times New Roman"/>
          <w:position w:val="3"/>
          <w:sz w:val="20"/>
        </w:rPr>
        <w:tab/>
      </w:r>
      <w:r>
        <w:rPr>
          <w:rFonts w:ascii="Times New Roman"/>
          <w:position w:val="1"/>
          <w:sz w:val="20"/>
        </w:rPr>
        <w:drawing>
          <wp:inline distT="0" distB="0" distL="0" distR="0">
            <wp:extent cx="402335" cy="411479"/>
            <wp:effectExtent l="0" t="0" r="0" b="0"/>
            <wp:docPr id="17" name="image9.png"/>
            <wp:cNvGraphicFramePr>
              <a:graphicFrameLocks noChangeAspect="1"/>
            </wp:cNvGraphicFramePr>
            <a:graphic>
              <a:graphicData uri="http://schemas.openxmlformats.org/drawingml/2006/picture">
                <pic:pic>
                  <pic:nvPicPr>
                    <pic:cNvPr id="18" name="image9.png"/>
                    <pic:cNvPicPr/>
                  </pic:nvPicPr>
                  <pic:blipFill>
                    <a:blip r:embed="rId13" cstate="print"/>
                    <a:stretch>
                      <a:fillRect/>
                    </a:stretch>
                  </pic:blipFill>
                  <pic:spPr>
                    <a:xfrm>
                      <a:off x="0" y="0"/>
                      <a:ext cx="402335" cy="411479"/>
                    </a:xfrm>
                    <a:prstGeom prst="rect">
                      <a:avLst/>
                    </a:prstGeom>
                  </pic:spPr>
                </pic:pic>
              </a:graphicData>
            </a:graphic>
          </wp:inline>
        </w:drawing>
      </w:r>
      <w:r>
        <w:rPr>
          <w:rFonts w:ascii="Times New Roman"/>
          <w:position w:val="1"/>
          <w:sz w:val="20"/>
        </w:rPr>
      </w:r>
      <w:r>
        <w:rPr>
          <w:rFonts w:ascii="Times New Roman"/>
          <w:position w:val="1"/>
          <w:sz w:val="20"/>
        </w:rPr>
        <w:tab/>
      </w:r>
      <w:r>
        <w:rPr>
          <w:rFonts w:ascii="Times New Roman"/>
          <w:sz w:val="20"/>
        </w:rPr>
        <w:drawing>
          <wp:inline distT="0" distB="0" distL="0" distR="0">
            <wp:extent cx="411479" cy="420624"/>
            <wp:effectExtent l="0" t="0" r="0" b="0"/>
            <wp:docPr id="19" name="image10.png"/>
            <wp:cNvGraphicFramePr>
              <a:graphicFrameLocks noChangeAspect="1"/>
            </wp:cNvGraphicFramePr>
            <a:graphic>
              <a:graphicData uri="http://schemas.openxmlformats.org/drawingml/2006/picture">
                <pic:pic>
                  <pic:nvPicPr>
                    <pic:cNvPr id="20" name="image10.png"/>
                    <pic:cNvPicPr/>
                  </pic:nvPicPr>
                  <pic:blipFill>
                    <a:blip r:embed="rId14" cstate="print"/>
                    <a:stretch>
                      <a:fillRect/>
                    </a:stretch>
                  </pic:blipFill>
                  <pic:spPr>
                    <a:xfrm>
                      <a:off x="0" y="0"/>
                      <a:ext cx="411479" cy="420624"/>
                    </a:xfrm>
                    <a:prstGeom prst="rect">
                      <a:avLst/>
                    </a:prstGeom>
                  </pic:spPr>
                </pic:pic>
              </a:graphicData>
            </a:graphic>
          </wp:inline>
        </w:drawing>
      </w:r>
      <w:r>
        <w:rPr>
          <w:rFonts w:ascii="Times New Roman"/>
          <w:sz w:val="20"/>
        </w:rPr>
      </w:r>
    </w:p>
    <w:p>
      <w:pPr>
        <w:pStyle w:val="BodyText"/>
        <w:spacing w:before="10"/>
        <w:rPr>
          <w:rFonts w:ascii="Times New Roman"/>
          <w:sz w:val="6"/>
        </w:rPr>
      </w:pPr>
    </w:p>
    <w:p>
      <w:pPr>
        <w:pStyle w:val="BodyText"/>
        <w:spacing w:line="216" w:lineRule="exact"/>
        <w:ind w:left="144"/>
        <w:rPr>
          <w:rFonts w:ascii="Times New Roman"/>
          <w:sz w:val="20"/>
        </w:rPr>
      </w:pPr>
      <w:r>
        <w:rPr>
          <w:rFonts w:ascii="Times New Roman"/>
          <w:position w:val="-3"/>
          <w:sz w:val="20"/>
        </w:rPr>
        <w:drawing>
          <wp:inline distT="0" distB="0" distL="0" distR="0">
            <wp:extent cx="6126480" cy="137159"/>
            <wp:effectExtent l="0" t="0" r="0" b="0"/>
            <wp:docPr id="21" name="image11.png"/>
            <wp:cNvGraphicFramePr>
              <a:graphicFrameLocks noChangeAspect="1"/>
            </wp:cNvGraphicFramePr>
            <a:graphic>
              <a:graphicData uri="http://schemas.openxmlformats.org/drawingml/2006/picture">
                <pic:pic>
                  <pic:nvPicPr>
                    <pic:cNvPr id="22" name="image11.png"/>
                    <pic:cNvPicPr/>
                  </pic:nvPicPr>
                  <pic:blipFill>
                    <a:blip r:embed="rId15" cstate="print"/>
                    <a:stretch>
                      <a:fillRect/>
                    </a:stretch>
                  </pic:blipFill>
                  <pic:spPr>
                    <a:xfrm>
                      <a:off x="0" y="0"/>
                      <a:ext cx="6126480" cy="137159"/>
                    </a:xfrm>
                    <a:prstGeom prst="rect">
                      <a:avLst/>
                    </a:prstGeom>
                  </pic:spPr>
                </pic:pic>
              </a:graphicData>
            </a:graphic>
          </wp:inline>
        </w:drawing>
      </w:r>
      <w:r>
        <w:rPr>
          <w:rFonts w:ascii="Times New Roman"/>
          <w:position w:val="-3"/>
          <w:sz w:val="20"/>
        </w:rPr>
      </w:r>
    </w:p>
    <w:p>
      <w:pPr>
        <w:pStyle w:val="BodyText"/>
        <w:spacing w:before="5"/>
        <w:rPr>
          <w:rFonts w:ascii="Times New Roman"/>
          <w:sz w:val="22"/>
        </w:rPr>
      </w:pPr>
    </w:p>
    <w:p>
      <w:pPr>
        <w:pStyle w:val="BodyText"/>
        <w:spacing w:before="31"/>
        <w:ind w:left="4188"/>
        <w:rPr>
          <w:rFonts w:ascii="Arial Unicode MS" w:eastAsia="Arial Unicode MS" w:hint="eastAsia"/>
        </w:rPr>
      </w:pPr>
      <w:r>
        <w:rPr>
          <w:rFonts w:ascii="Arial Unicode MS" w:eastAsia="Arial Unicode MS" w:hint="eastAsia"/>
        </w:rPr>
        <w:t>粤工信工业互联网函〔</w:t>
      </w:r>
      <w:r>
        <w:rPr>
          <w:rFonts w:ascii="Times New Roman" w:eastAsia="Times New Roman"/>
        </w:rPr>
        <w:t>2019</w:t>
      </w:r>
      <w:r>
        <w:rPr>
          <w:rFonts w:ascii="Arial Unicode MS" w:eastAsia="Arial Unicode MS" w:hint="eastAsia"/>
        </w:rPr>
        <w:t>〕</w:t>
      </w:r>
      <w:r>
        <w:rPr>
          <w:rFonts w:ascii="Times New Roman" w:eastAsia="Times New Roman"/>
        </w:rPr>
        <w:t>1553 </w:t>
      </w:r>
      <w:r>
        <w:rPr>
          <w:rFonts w:ascii="Arial Unicode MS" w:eastAsia="Arial Unicode MS" w:hint="eastAsia"/>
        </w:rPr>
        <w:t>号</w:t>
      </w:r>
    </w:p>
    <w:p>
      <w:pPr>
        <w:pStyle w:val="BodyText"/>
        <w:spacing w:before="6"/>
        <w:rPr>
          <w:rFonts w:ascii="Arial Unicode MS"/>
          <w:sz w:val="55"/>
        </w:rPr>
      </w:pPr>
    </w:p>
    <w:p>
      <w:pPr>
        <w:pStyle w:val="Heading1"/>
        <w:spacing w:line="669" w:lineRule="exact"/>
        <w:ind w:left="2289" w:firstLine="0"/>
      </w:pPr>
      <w:r>
        <w:rPr/>
        <w:t>广东省工业和信息化厅关于</w:t>
      </w:r>
    </w:p>
    <w:p>
      <w:pPr>
        <w:spacing w:line="172" w:lineRule="auto" w:before="37"/>
        <w:ind w:left="1300" w:right="1337" w:firstLine="328"/>
        <w:jc w:val="left"/>
        <w:rPr>
          <w:rFonts w:ascii="方正小标宋简体" w:eastAsia="方正小标宋简体" w:hint="eastAsia"/>
          <w:sz w:val="44"/>
        </w:rPr>
      </w:pPr>
      <w:r>
        <w:rPr>
          <w:rFonts w:ascii="方正小标宋简体" w:eastAsia="方正小标宋简体" w:hint="eastAsia"/>
          <w:sz w:val="44"/>
        </w:rPr>
        <w:t>印发《广东省工业企业上云上平台</w:t>
      </w:r>
      <w:r>
        <w:rPr>
          <w:rFonts w:ascii="方正小标宋简体" w:eastAsia="方正小标宋简体" w:hint="eastAsia"/>
          <w:w w:val="99"/>
          <w:sz w:val="44"/>
        </w:rPr>
        <w:t>服务券奖补工作方案（</w:t>
      </w:r>
      <w:r>
        <w:rPr>
          <w:rFonts w:ascii="Times New Roman" w:eastAsia="Times New Roman"/>
          <w:spacing w:val="-2"/>
          <w:w w:val="99"/>
          <w:sz w:val="44"/>
        </w:rPr>
        <w:t>2</w:t>
      </w:r>
      <w:r>
        <w:rPr>
          <w:rFonts w:ascii="Times New Roman" w:eastAsia="Times New Roman"/>
          <w:spacing w:val="1"/>
          <w:w w:val="99"/>
          <w:sz w:val="44"/>
        </w:rPr>
        <w:t>019</w:t>
      </w:r>
      <w:r>
        <w:rPr>
          <w:rFonts w:ascii="方正小标宋简体" w:eastAsia="方正小标宋简体" w:hint="eastAsia"/>
          <w:spacing w:val="-221"/>
          <w:w w:val="99"/>
          <w:sz w:val="44"/>
        </w:rPr>
        <w:t>）</w:t>
      </w:r>
      <w:r>
        <w:rPr>
          <w:rFonts w:ascii="方正小标宋简体" w:eastAsia="方正小标宋简体" w:hint="eastAsia"/>
          <w:w w:val="99"/>
          <w:sz w:val="44"/>
        </w:rPr>
        <w:t>》的通知</w:t>
      </w:r>
    </w:p>
    <w:p>
      <w:pPr>
        <w:pStyle w:val="BodyText"/>
        <w:spacing w:before="14"/>
        <w:rPr>
          <w:rFonts w:ascii="方正小标宋简体"/>
          <w:sz w:val="34"/>
        </w:rPr>
      </w:pPr>
    </w:p>
    <w:p>
      <w:pPr>
        <w:pStyle w:val="BodyText"/>
        <w:ind w:left="508"/>
      </w:pPr>
      <w:r>
        <w:rPr/>
        <w:t>各地级以上市工业和信息化主管部门，有关单位：</w:t>
      </w:r>
    </w:p>
    <w:p>
      <w:pPr>
        <w:pStyle w:val="BodyText"/>
        <w:spacing w:line="328" w:lineRule="auto" w:before="152"/>
        <w:ind w:left="508" w:right="432" w:firstLine="640"/>
        <w:jc w:val="both"/>
      </w:pPr>
      <w:r>
        <w:rPr/>
        <w:t>为贯彻落实《广东省深化</w:t>
      </w:r>
      <w:r>
        <w:rPr>
          <w:rFonts w:ascii="Times New Roman" w:hAnsi="Times New Roman" w:eastAsia="Times New Roman"/>
          <w:spacing w:val="4"/>
        </w:rPr>
        <w:t>“</w:t>
      </w:r>
      <w:r>
        <w:rPr/>
        <w:t>互联网</w:t>
      </w:r>
      <w:r>
        <w:rPr>
          <w:rFonts w:ascii="Times New Roman" w:hAnsi="Times New Roman" w:eastAsia="Times New Roman"/>
        </w:rPr>
        <w:t>+</w:t>
      </w:r>
      <w:r>
        <w:rPr>
          <w:spacing w:val="1"/>
        </w:rPr>
        <w:t>先进制造业</w:t>
      </w:r>
      <w:r>
        <w:rPr>
          <w:rFonts w:ascii="Times New Roman" w:hAnsi="Times New Roman" w:eastAsia="Times New Roman"/>
        </w:rPr>
        <w:t>”</w:t>
      </w:r>
      <w:r>
        <w:rPr/>
        <w:t>发展工业互</w:t>
      </w:r>
      <w:r>
        <w:rPr>
          <w:spacing w:val="-10"/>
          <w:w w:val="99"/>
        </w:rPr>
        <w:t>联网实施方案及配套政策措施》</w:t>
      </w:r>
      <w:r>
        <w:rPr>
          <w:spacing w:val="2"/>
          <w:w w:val="99"/>
        </w:rPr>
        <w:t>（粤府〔</w:t>
      </w:r>
      <w:r>
        <w:rPr>
          <w:rFonts w:ascii="Times New Roman" w:hAnsi="Times New Roman" w:eastAsia="Times New Roman"/>
          <w:spacing w:val="-2"/>
          <w:w w:val="99"/>
        </w:rPr>
        <w:t>2</w:t>
      </w:r>
      <w:r>
        <w:rPr>
          <w:rFonts w:ascii="Times New Roman" w:hAnsi="Times New Roman" w:eastAsia="Times New Roman"/>
          <w:spacing w:val="1"/>
          <w:w w:val="99"/>
        </w:rPr>
        <w:t>018</w:t>
      </w:r>
      <w:r>
        <w:rPr>
          <w:spacing w:val="2"/>
          <w:w w:val="99"/>
        </w:rPr>
        <w:t>〕</w:t>
      </w:r>
      <w:r>
        <w:rPr>
          <w:rFonts w:ascii="Times New Roman" w:hAnsi="Times New Roman" w:eastAsia="Times New Roman"/>
          <w:spacing w:val="1"/>
          <w:w w:val="99"/>
        </w:rPr>
        <w:t>2</w:t>
      </w:r>
      <w:r>
        <w:rPr>
          <w:rFonts w:ascii="Times New Roman" w:hAnsi="Times New Roman" w:eastAsia="Times New Roman"/>
          <w:w w:val="99"/>
        </w:rPr>
        <w:t>3</w:t>
      </w:r>
      <w:r>
        <w:rPr>
          <w:rFonts w:ascii="Times New Roman" w:hAnsi="Times New Roman" w:eastAsia="Times New Roman"/>
          <w:spacing w:val="-1"/>
        </w:rPr>
        <w:t>  </w:t>
      </w:r>
      <w:r>
        <w:rPr>
          <w:spacing w:val="2"/>
          <w:w w:val="99"/>
        </w:rPr>
        <w:t>号</w:t>
      </w:r>
      <w:r>
        <w:rPr>
          <w:spacing w:val="-159"/>
          <w:w w:val="99"/>
        </w:rPr>
        <w:t>）</w:t>
      </w:r>
      <w:r>
        <w:rPr>
          <w:spacing w:val="1"/>
          <w:w w:val="99"/>
        </w:rPr>
        <w:t>，更好的</w:t>
      </w:r>
      <w:r>
        <w:rPr>
          <w:spacing w:val="-2"/>
        </w:rPr>
        <w:t>服务广东制造业数字化网络化智能化转型升级，我厅在 </w:t>
      </w:r>
      <w:r>
        <w:rPr>
          <w:rFonts w:ascii="Times New Roman" w:hAnsi="Times New Roman" w:eastAsia="Times New Roman"/>
        </w:rPr>
        <w:t>2018 </w:t>
      </w:r>
      <w:r>
        <w:rPr/>
        <w:t>年工业企业</w:t>
      </w:r>
      <w:r>
        <w:rPr>
          <w:rFonts w:ascii="Times New Roman" w:hAnsi="Times New Roman" w:eastAsia="Times New Roman"/>
        </w:rPr>
        <w:t>“</w:t>
      </w:r>
      <w:r>
        <w:rPr/>
        <w:t>上云上平台</w:t>
      </w:r>
      <w:r>
        <w:rPr>
          <w:rFonts w:ascii="Times New Roman" w:hAnsi="Times New Roman" w:eastAsia="Times New Roman"/>
          <w:spacing w:val="-3"/>
        </w:rPr>
        <w:t>”</w:t>
      </w:r>
      <w:r>
        <w:rPr>
          <w:spacing w:val="-9"/>
        </w:rPr>
        <w:t>工作开展的基础上，对《广东省工业企业</w:t>
      </w:r>
      <w:r>
        <w:rPr>
          <w:spacing w:val="-9"/>
          <w:w w:val="95"/>
        </w:rPr>
        <w:t>上云上平台服务券奖补工作方案（试行</w:t>
      </w:r>
      <w:r>
        <w:rPr>
          <w:spacing w:val="-161"/>
          <w:w w:val="95"/>
        </w:rPr>
        <w:t>）</w:t>
      </w:r>
      <w:r>
        <w:rPr>
          <w:spacing w:val="-159"/>
          <w:w w:val="95"/>
        </w:rPr>
        <w:t>》</w:t>
      </w:r>
      <w:r>
        <w:rPr>
          <w:w w:val="95"/>
        </w:rPr>
        <w:t>（粤经信融合〔</w:t>
      </w:r>
      <w:r>
        <w:rPr>
          <w:rFonts w:ascii="Times New Roman" w:hAnsi="Times New Roman" w:eastAsia="Times New Roman"/>
          <w:w w:val="95"/>
        </w:rPr>
        <w:t>2018</w:t>
      </w:r>
      <w:r>
        <w:rPr>
          <w:w w:val="95"/>
        </w:rPr>
        <w:t>〕</w:t>
      </w:r>
    </w:p>
    <w:p>
      <w:pPr>
        <w:pStyle w:val="BodyText"/>
        <w:spacing w:line="400" w:lineRule="exact"/>
        <w:ind w:left="508"/>
        <w:jc w:val="both"/>
      </w:pPr>
      <w:r>
        <w:rPr>
          <w:rFonts w:ascii="Times New Roman" w:eastAsia="Times New Roman"/>
        </w:rPr>
        <w:t>47 </w:t>
      </w:r>
      <w:r>
        <w:rPr/>
        <w:t>号）进行了完善修订。现将修订后的方案印发给你们，并就</w:t>
      </w:r>
    </w:p>
    <w:p>
      <w:pPr>
        <w:pStyle w:val="BodyText"/>
        <w:spacing w:before="152"/>
        <w:ind w:left="508"/>
      </w:pPr>
      <w:r>
        <w:rPr>
          <w:rFonts w:ascii="Times New Roman" w:hAnsi="Times New Roman" w:eastAsia="Times New Roman"/>
        </w:rPr>
        <w:t>2019 </w:t>
      </w:r>
      <w:r>
        <w:rPr/>
        <w:t>年度</w:t>
      </w:r>
      <w:r>
        <w:rPr>
          <w:rFonts w:ascii="Times New Roman" w:hAnsi="Times New Roman" w:eastAsia="Times New Roman"/>
        </w:rPr>
        <w:t>“</w:t>
      </w:r>
      <w:r>
        <w:rPr/>
        <w:t>上云上平台</w:t>
      </w:r>
      <w:r>
        <w:rPr>
          <w:rFonts w:ascii="Times New Roman" w:hAnsi="Times New Roman" w:eastAsia="Times New Roman"/>
        </w:rPr>
        <w:t>”</w:t>
      </w:r>
      <w:r>
        <w:rPr/>
        <w:t>工作安排如下，请认真组织实施：</w:t>
      </w:r>
    </w:p>
    <w:p>
      <w:pPr>
        <w:pStyle w:val="BodyText"/>
        <w:spacing w:line="328" w:lineRule="auto" w:before="149"/>
        <w:ind w:left="508" w:right="545" w:firstLine="799"/>
        <w:jc w:val="both"/>
      </w:pPr>
      <w:r>
        <w:rPr>
          <w:spacing w:val="-11"/>
        </w:rPr>
        <w:t>一、请各市工业和信息化部门加强对新版工业企业</w:t>
      </w:r>
      <w:r>
        <w:rPr>
          <w:rFonts w:ascii="Times New Roman" w:hAnsi="Times New Roman" w:eastAsia="Times New Roman"/>
        </w:rPr>
        <w:t>“</w:t>
      </w:r>
      <w:r>
        <w:rPr/>
        <w:t>上云上</w:t>
      </w:r>
      <w:r>
        <w:rPr>
          <w:spacing w:val="4"/>
        </w:rPr>
        <w:t>平台</w:t>
      </w:r>
      <w:r>
        <w:rPr>
          <w:rFonts w:ascii="Times New Roman" w:hAnsi="Times New Roman" w:eastAsia="Times New Roman"/>
        </w:rPr>
        <w:t>”</w:t>
      </w:r>
      <w:r>
        <w:rPr/>
        <w:t>政策的宣贯，结合《广东省工业和信息化厅关于开展产业</w:t>
      </w:r>
      <w:r>
        <w:rPr>
          <w:spacing w:val="-9"/>
        </w:rPr>
        <w:t>集群工业互联数字化转型试点工作的通知》</w:t>
      </w:r>
      <w:r>
        <w:rPr/>
        <w:t>（粤工信工业互联网</w:t>
      </w:r>
      <w:r>
        <w:rPr>
          <w:spacing w:val="-4"/>
          <w:w w:val="99"/>
        </w:rPr>
        <w:t>函〔</w:t>
      </w:r>
      <w:r>
        <w:rPr>
          <w:rFonts w:ascii="Times New Roman" w:hAnsi="Times New Roman" w:eastAsia="Times New Roman"/>
          <w:spacing w:val="-2"/>
          <w:w w:val="99"/>
        </w:rPr>
        <w:t>2</w:t>
      </w:r>
      <w:r>
        <w:rPr>
          <w:rFonts w:ascii="Times New Roman" w:hAnsi="Times New Roman" w:eastAsia="Times New Roman"/>
          <w:spacing w:val="1"/>
          <w:w w:val="99"/>
        </w:rPr>
        <w:t>01</w:t>
      </w:r>
      <w:r>
        <w:rPr>
          <w:rFonts w:ascii="Times New Roman" w:hAnsi="Times New Roman" w:eastAsia="Times New Roman"/>
          <w:spacing w:val="-2"/>
          <w:w w:val="99"/>
        </w:rPr>
        <w:t>9</w:t>
      </w:r>
      <w:r>
        <w:rPr>
          <w:spacing w:val="-8"/>
          <w:w w:val="99"/>
        </w:rPr>
        <w:t>〕</w:t>
      </w:r>
      <w:r>
        <w:rPr>
          <w:rFonts w:ascii="Times New Roman" w:hAnsi="Times New Roman" w:eastAsia="Times New Roman"/>
          <w:spacing w:val="1"/>
          <w:w w:val="99"/>
        </w:rPr>
        <w:t>1</w:t>
      </w:r>
      <w:r>
        <w:rPr>
          <w:rFonts w:ascii="Times New Roman" w:hAnsi="Times New Roman" w:eastAsia="Times New Roman"/>
          <w:spacing w:val="-2"/>
          <w:w w:val="99"/>
        </w:rPr>
        <w:t>3</w:t>
      </w:r>
      <w:r>
        <w:rPr>
          <w:rFonts w:ascii="Times New Roman" w:hAnsi="Times New Roman" w:eastAsia="Times New Roman"/>
          <w:spacing w:val="1"/>
          <w:w w:val="99"/>
        </w:rPr>
        <w:t>8</w:t>
      </w:r>
      <w:r>
        <w:rPr>
          <w:rFonts w:ascii="Times New Roman" w:hAnsi="Times New Roman" w:eastAsia="Times New Roman"/>
          <w:w w:val="99"/>
        </w:rPr>
        <w:t>3</w:t>
      </w:r>
      <w:r>
        <w:rPr>
          <w:rFonts w:ascii="Times New Roman" w:hAnsi="Times New Roman" w:eastAsia="Times New Roman"/>
        </w:rPr>
        <w:t> </w:t>
      </w:r>
      <w:r>
        <w:rPr>
          <w:spacing w:val="2"/>
          <w:w w:val="99"/>
        </w:rPr>
        <w:t>号</w:t>
      </w:r>
      <w:r>
        <w:rPr>
          <w:spacing w:val="-159"/>
          <w:w w:val="99"/>
        </w:rPr>
        <w:t>）</w:t>
      </w:r>
      <w:r>
        <w:rPr>
          <w:spacing w:val="-4"/>
          <w:w w:val="99"/>
        </w:rPr>
        <w:t>，组织企业积极申领服务券，运用工业互联</w:t>
      </w:r>
      <w:r>
        <w:rPr>
          <w:spacing w:val="-4"/>
        </w:rPr>
        <w:t>网新技术、新模式实施数字化升级。</w:t>
      </w:r>
    </w:p>
    <w:p>
      <w:pPr>
        <w:pStyle w:val="BodyText"/>
        <w:spacing w:line="326" w:lineRule="auto"/>
        <w:ind w:left="508" w:right="545" w:firstLine="799"/>
        <w:jc w:val="both"/>
      </w:pPr>
      <w:r>
        <w:rPr/>
        <w:t>二、</w:t>
      </w:r>
      <w:r>
        <w:rPr>
          <w:rFonts w:ascii="Times New Roman" w:hAnsi="Times New Roman" w:eastAsia="Times New Roman"/>
        </w:rPr>
        <w:t>“</w:t>
      </w:r>
      <w:r>
        <w:rPr/>
        <w:t>广东省工业互联网应用服务平台</w:t>
      </w:r>
      <w:r>
        <w:rPr>
          <w:rFonts w:ascii="Times New Roman" w:hAnsi="Times New Roman" w:eastAsia="Times New Roman"/>
        </w:rPr>
        <w:t>”</w:t>
      </w:r>
      <w:r>
        <w:rPr/>
        <w:t>改版上线后将正式启动 </w:t>
      </w:r>
      <w:r>
        <w:rPr>
          <w:rFonts w:ascii="Times New Roman" w:hAnsi="Times New Roman" w:eastAsia="Times New Roman"/>
        </w:rPr>
        <w:t>2019 </w:t>
      </w:r>
      <w:r>
        <w:rPr/>
        <w:t>年度</w:t>
      </w:r>
      <w:r>
        <w:rPr>
          <w:rFonts w:ascii="Times New Roman" w:hAnsi="Times New Roman" w:eastAsia="Times New Roman"/>
        </w:rPr>
        <w:t>“</w:t>
      </w:r>
      <w:r>
        <w:rPr/>
        <w:t>上云上平台</w:t>
      </w:r>
      <w:r>
        <w:rPr>
          <w:rFonts w:ascii="Times New Roman" w:hAnsi="Times New Roman" w:eastAsia="Times New Roman"/>
        </w:rPr>
        <w:t>”</w:t>
      </w:r>
      <w:r>
        <w:rPr/>
        <w:t>服务券奖补工作。新版平台启用时</w:t>
      </w:r>
    </w:p>
    <w:p>
      <w:pPr>
        <w:pStyle w:val="BodyText"/>
        <w:spacing w:before="6"/>
        <w:rPr>
          <w:sz w:val="10"/>
        </w:rPr>
      </w:pPr>
      <w:r>
        <w:rPr/>
        <w:drawing>
          <wp:anchor distT="0" distB="0" distL="0" distR="0" allowOverlap="1" layoutInCell="1" locked="0" behindDoc="0" simplePos="0" relativeHeight="0">
            <wp:simplePos x="0" y="0"/>
            <wp:positionH relativeFrom="page">
              <wp:posOffset>749808</wp:posOffset>
            </wp:positionH>
            <wp:positionV relativeFrom="paragraph">
              <wp:posOffset>110495</wp:posOffset>
            </wp:positionV>
            <wp:extent cx="6131051" cy="128015"/>
            <wp:effectExtent l="0" t="0" r="0" b="0"/>
            <wp:wrapTopAndBottom/>
            <wp:docPr id="23" name="image12.png"/>
            <wp:cNvGraphicFramePr>
              <a:graphicFrameLocks noChangeAspect="1"/>
            </wp:cNvGraphicFramePr>
            <a:graphic>
              <a:graphicData uri="http://schemas.openxmlformats.org/drawingml/2006/picture">
                <pic:pic>
                  <pic:nvPicPr>
                    <pic:cNvPr id="24" name="image12.png"/>
                    <pic:cNvPicPr/>
                  </pic:nvPicPr>
                  <pic:blipFill>
                    <a:blip r:embed="rId16" cstate="print"/>
                    <a:stretch>
                      <a:fillRect/>
                    </a:stretch>
                  </pic:blipFill>
                  <pic:spPr>
                    <a:xfrm>
                      <a:off x="0" y="0"/>
                      <a:ext cx="6131051" cy="128015"/>
                    </a:xfrm>
                    <a:prstGeom prst="rect">
                      <a:avLst/>
                    </a:prstGeom>
                  </pic:spPr>
                </pic:pic>
              </a:graphicData>
            </a:graphic>
          </wp:anchor>
        </w:drawing>
      </w:r>
    </w:p>
    <w:p>
      <w:pPr>
        <w:spacing w:after="0"/>
        <w:rPr>
          <w:sz w:val="10"/>
        </w:rPr>
        <w:sectPr>
          <w:type w:val="continuous"/>
          <w:pgSz w:w="11900" w:h="16840"/>
          <w:pgMar w:top="1600" w:bottom="280" w:left="1080" w:right="920"/>
        </w:sectPr>
      </w:pPr>
    </w:p>
    <w:p>
      <w:pPr>
        <w:pStyle w:val="BodyText"/>
        <w:spacing w:before="3"/>
        <w:rPr>
          <w:sz w:val="21"/>
        </w:rPr>
      </w:pPr>
    </w:p>
    <w:p>
      <w:pPr>
        <w:pStyle w:val="BodyText"/>
        <w:spacing w:line="326" w:lineRule="auto" w:before="54"/>
        <w:ind w:left="1307" w:right="432" w:hanging="800"/>
        <w:jc w:val="both"/>
      </w:pPr>
      <w:r>
        <w:rPr>
          <w:w w:val="95"/>
        </w:rPr>
        <w:t>间及服务券相关工作通知，请密切关注服务平台上的通知公告。 </w:t>
      </w:r>
      <w:r>
        <w:rPr/>
        <w:t>三、</w:t>
      </w:r>
      <w:r>
        <w:rPr>
          <w:rFonts w:ascii="Times New Roman" w:eastAsia="Times New Roman"/>
        </w:rPr>
        <w:t>2019</w:t>
      </w:r>
      <w:r>
        <w:rPr>
          <w:rFonts w:ascii="Times New Roman" w:eastAsia="Times New Roman"/>
          <w:spacing w:val="15"/>
        </w:rPr>
        <w:t> </w:t>
      </w:r>
      <w:r>
        <w:rPr>
          <w:spacing w:val="-6"/>
        </w:rPr>
        <w:t>年度服务券申领计划于 </w:t>
      </w:r>
      <w:r>
        <w:rPr>
          <w:rFonts w:ascii="Times New Roman" w:eastAsia="Times New Roman"/>
        </w:rPr>
        <w:t>2019</w:t>
      </w:r>
      <w:r>
        <w:rPr>
          <w:rFonts w:ascii="Times New Roman" w:eastAsia="Times New Roman"/>
          <w:spacing w:val="16"/>
        </w:rPr>
        <w:t> </w:t>
      </w:r>
      <w:r>
        <w:rPr>
          <w:spacing w:val="-31"/>
        </w:rPr>
        <w:t>年 </w:t>
      </w:r>
      <w:r>
        <w:rPr>
          <w:rFonts w:ascii="Times New Roman" w:eastAsia="Times New Roman"/>
        </w:rPr>
        <w:t>12</w:t>
      </w:r>
      <w:r>
        <w:rPr>
          <w:rFonts w:ascii="Times New Roman" w:eastAsia="Times New Roman"/>
          <w:spacing w:val="16"/>
        </w:rPr>
        <w:t> </w:t>
      </w:r>
      <w:r>
        <w:rPr>
          <w:spacing w:val="-32"/>
        </w:rPr>
        <w:t>月 </w:t>
      </w:r>
      <w:r>
        <w:rPr>
          <w:rFonts w:ascii="Times New Roman" w:eastAsia="Times New Roman"/>
        </w:rPr>
        <w:t>31</w:t>
      </w:r>
      <w:r>
        <w:rPr>
          <w:rFonts w:ascii="Times New Roman" w:eastAsia="Times New Roman"/>
          <w:spacing w:val="16"/>
        </w:rPr>
        <w:t> </w:t>
      </w:r>
      <w:r>
        <w:rPr/>
        <w:t>日前截</w:t>
      </w:r>
    </w:p>
    <w:p>
      <w:pPr>
        <w:pStyle w:val="BodyText"/>
        <w:spacing w:line="328" w:lineRule="auto" w:before="3"/>
        <w:ind w:left="508" w:right="545"/>
        <w:jc w:val="both"/>
      </w:pPr>
      <w:r>
        <w:rPr>
          <w:spacing w:val="-15"/>
        </w:rPr>
        <w:t>止，服务券兑现计划于 </w:t>
      </w:r>
      <w:r>
        <w:rPr>
          <w:rFonts w:ascii="Times New Roman" w:eastAsia="Times New Roman"/>
        </w:rPr>
        <w:t>2020 </w:t>
      </w:r>
      <w:r>
        <w:rPr>
          <w:spacing w:val="-41"/>
        </w:rPr>
        <w:t>年 </w:t>
      </w:r>
      <w:r>
        <w:rPr>
          <w:rFonts w:ascii="Times New Roman" w:eastAsia="Times New Roman"/>
        </w:rPr>
        <w:t>3 </w:t>
      </w:r>
      <w:r>
        <w:rPr>
          <w:spacing w:val="-41"/>
        </w:rPr>
        <w:t>月 </w:t>
      </w:r>
      <w:r>
        <w:rPr>
          <w:rFonts w:ascii="Times New Roman" w:eastAsia="Times New Roman"/>
        </w:rPr>
        <w:t>31 </w:t>
      </w:r>
      <w:r>
        <w:rPr>
          <w:spacing w:val="-8"/>
        </w:rPr>
        <w:t>日前截止，具体时间节点</w:t>
      </w:r>
      <w:r>
        <w:rPr>
          <w:spacing w:val="-14"/>
          <w:w w:val="95"/>
        </w:rPr>
        <w:t>以服务平台通知为准。请各地市工业和信息化主管部门在服务平 </w:t>
      </w:r>
      <w:r>
        <w:rPr>
          <w:spacing w:val="-14"/>
        </w:rPr>
        <w:t>台上线后尽快组织供应商注册、企业服务券申领等工作。</w:t>
      </w:r>
    </w:p>
    <w:p>
      <w:pPr>
        <w:pStyle w:val="BodyText"/>
        <w:spacing w:line="328" w:lineRule="auto"/>
        <w:ind w:left="508" w:right="386" w:firstLine="799"/>
      </w:pPr>
      <w:r>
        <w:rPr/>
        <w:t>四、本方案执行过程中的任何问题，可向我厅工业互联网</w:t>
      </w:r>
      <w:r>
        <w:rPr>
          <w:spacing w:val="-19"/>
        </w:rPr>
        <w:t>处咨询或反馈。联系方式：工业互联网处：高新国、张智，电话： </w:t>
      </w:r>
      <w:r>
        <w:rPr>
          <w:rFonts w:ascii="Times New Roman" w:eastAsia="Times New Roman"/>
          <w:spacing w:val="-19"/>
        </w:rPr>
        <w:t>020-83134305</w:t>
      </w:r>
      <w:r>
        <w:rPr>
          <w:spacing w:val="4"/>
        </w:rPr>
        <w:t>、</w:t>
      </w:r>
      <w:r>
        <w:rPr>
          <w:rFonts w:ascii="Times New Roman" w:eastAsia="Times New Roman"/>
        </w:rPr>
        <w:t>020-83133376</w:t>
      </w:r>
      <w:r>
        <w:rPr>
          <w:spacing w:val="2"/>
        </w:rPr>
        <w:t>，邮箱：</w:t>
      </w:r>
      <w:hyperlink r:id="rId19">
        <w:r>
          <w:rPr>
            <w:rFonts w:ascii="Times New Roman" w:eastAsia="Times New Roman"/>
          </w:rPr>
          <w:t>ronghefazhan@163.com</w:t>
        </w:r>
      </w:hyperlink>
      <w:r>
        <w:rPr/>
        <w:t>； </w:t>
      </w:r>
      <w:r>
        <w:rPr>
          <w:spacing w:val="-1"/>
        </w:rPr>
        <w:t>省工业互联网产业联盟服务热线：</w:t>
      </w:r>
      <w:r>
        <w:rPr>
          <w:rFonts w:ascii="Times New Roman" w:eastAsia="Times New Roman"/>
          <w:spacing w:val="-9"/>
        </w:rPr>
        <w:t>020-83256806</w:t>
      </w:r>
      <w:r>
        <w:rPr>
          <w:rFonts w:ascii="Times New Roman" w:eastAsia="Times New Roman"/>
          <w:spacing w:val="-5"/>
        </w:rPr>
        <w:t> </w:t>
      </w:r>
      <w:r>
        <w:rPr>
          <w:spacing w:val="-108"/>
        </w:rPr>
        <w:t>、</w:t>
      </w:r>
      <w:r>
        <w:rPr>
          <w:rFonts w:ascii="Times New Roman" w:eastAsia="Times New Roman"/>
        </w:rPr>
        <w:t>18027167871</w:t>
      </w:r>
      <w:r>
        <w:rPr/>
        <w:t>， 邮箱：</w:t>
      </w:r>
      <w:hyperlink r:id="rId20">
        <w:r>
          <w:rPr>
            <w:rFonts w:ascii="Times New Roman" w:eastAsia="Times New Roman"/>
          </w:rPr>
          <w:t>aiigd@caict.ac.cn</w:t>
        </w:r>
      </w:hyperlink>
      <w:r>
        <w:rPr/>
        <w:t>。</w:t>
      </w:r>
    </w:p>
    <w:p>
      <w:pPr>
        <w:pStyle w:val="BodyText"/>
        <w:rPr>
          <w:sz w:val="34"/>
        </w:rPr>
      </w:pPr>
    </w:p>
    <w:p>
      <w:pPr>
        <w:pStyle w:val="BodyText"/>
        <w:rPr>
          <w:sz w:val="34"/>
        </w:rPr>
      </w:pPr>
    </w:p>
    <w:p>
      <w:pPr>
        <w:pStyle w:val="BodyText"/>
        <w:rPr>
          <w:sz w:val="34"/>
        </w:rPr>
      </w:pPr>
    </w:p>
    <w:p>
      <w:pPr>
        <w:pStyle w:val="BodyText"/>
        <w:spacing w:before="253"/>
        <w:ind w:left="4487" w:right="2172"/>
        <w:jc w:val="center"/>
      </w:pPr>
      <w:r>
        <w:rPr/>
        <w:t>广东省工业和信息化厅</w:t>
      </w:r>
    </w:p>
    <w:p>
      <w:pPr>
        <w:pStyle w:val="BodyText"/>
        <w:spacing w:before="89"/>
        <w:ind w:left="4408" w:right="2172"/>
        <w:jc w:val="center"/>
      </w:pPr>
      <w:r>
        <w:rPr>
          <w:rFonts w:ascii="Times New Roman" w:eastAsia="Times New Roman"/>
        </w:rPr>
        <w:t>2019 </w:t>
      </w:r>
      <w:r>
        <w:rPr/>
        <w:t>年 </w:t>
      </w:r>
      <w:r>
        <w:rPr>
          <w:rFonts w:ascii="Times New Roman" w:eastAsia="Times New Roman"/>
        </w:rPr>
        <w:t>7 </w:t>
      </w:r>
      <w:r>
        <w:rPr/>
        <w:t>月 </w:t>
      </w:r>
      <w:r>
        <w:rPr>
          <w:rFonts w:ascii="Times New Roman" w:eastAsia="Times New Roman"/>
        </w:rPr>
        <w:t>29 </w:t>
      </w:r>
      <w:r>
        <w:rPr/>
        <w:t>日</w:t>
      </w:r>
    </w:p>
    <w:p>
      <w:pPr>
        <w:spacing w:after="0"/>
        <w:jc w:val="center"/>
        <w:sectPr>
          <w:footerReference w:type="even" r:id="rId17"/>
          <w:footerReference w:type="default" r:id="rId18"/>
          <w:pgSz w:w="11900" w:h="16840"/>
          <w:pgMar w:footer="1325" w:header="0" w:top="1600" w:bottom="1520" w:left="1080" w:right="920"/>
          <w:pgNumType w:start="2"/>
        </w:sectPr>
      </w:pPr>
    </w:p>
    <w:p>
      <w:pPr>
        <w:pStyle w:val="BodyText"/>
        <w:spacing w:before="9"/>
        <w:rPr>
          <w:sz w:val="11"/>
        </w:rPr>
      </w:pPr>
    </w:p>
    <w:p>
      <w:pPr>
        <w:pStyle w:val="Heading1"/>
        <w:spacing w:line="172" w:lineRule="auto" w:before="119"/>
        <w:ind w:left="2728" w:right="1471"/>
      </w:pPr>
      <w:r>
        <w:rPr/>
        <w:t>广东省工业企业</w:t>
      </w:r>
      <w:r>
        <w:rPr>
          <w:rFonts w:ascii="Times New Roman" w:hAnsi="Times New Roman" w:eastAsia="Times New Roman"/>
        </w:rPr>
        <w:t>“</w:t>
      </w:r>
      <w:r>
        <w:rPr/>
        <w:t>上云上平台</w:t>
      </w:r>
      <w:r>
        <w:rPr>
          <w:rFonts w:ascii="Times New Roman" w:hAnsi="Times New Roman" w:eastAsia="Times New Roman"/>
        </w:rPr>
        <w:t>”</w:t>
      </w:r>
      <w:r>
        <w:rPr/>
        <w:t>服务券奖补工作方案（</w:t>
      </w:r>
      <w:r>
        <w:rPr>
          <w:rFonts w:ascii="Times New Roman" w:hAnsi="Times New Roman" w:eastAsia="Times New Roman"/>
        </w:rPr>
        <w:t>2019</w:t>
      </w:r>
      <w:r>
        <w:rPr/>
        <w:t>）</w:t>
      </w:r>
    </w:p>
    <w:p>
      <w:pPr>
        <w:pStyle w:val="BodyText"/>
        <w:spacing w:before="14"/>
        <w:rPr>
          <w:rFonts w:ascii="方正小标宋简体"/>
          <w:sz w:val="34"/>
        </w:rPr>
      </w:pPr>
    </w:p>
    <w:p>
      <w:pPr>
        <w:pStyle w:val="BodyText"/>
        <w:spacing w:line="326" w:lineRule="auto"/>
        <w:ind w:left="508" w:right="545" w:firstLine="640"/>
        <w:jc w:val="both"/>
      </w:pPr>
      <w:r>
        <w:rPr/>
        <w:t>为贯彻落实《广东省深化</w:t>
      </w:r>
      <w:r>
        <w:rPr>
          <w:rFonts w:ascii="Times New Roman" w:hAnsi="Times New Roman" w:eastAsia="Times New Roman"/>
          <w:spacing w:val="4"/>
        </w:rPr>
        <w:t>“</w:t>
      </w:r>
      <w:r>
        <w:rPr/>
        <w:t>互联网</w:t>
      </w:r>
      <w:r>
        <w:rPr>
          <w:rFonts w:ascii="Times New Roman" w:hAnsi="Times New Roman" w:eastAsia="Times New Roman"/>
        </w:rPr>
        <w:t>+</w:t>
      </w:r>
      <w:r>
        <w:rPr>
          <w:spacing w:val="1"/>
        </w:rPr>
        <w:t>先进制造业</w:t>
      </w:r>
      <w:r>
        <w:rPr>
          <w:rFonts w:ascii="Times New Roman" w:hAnsi="Times New Roman" w:eastAsia="Times New Roman"/>
        </w:rPr>
        <w:t>”</w:t>
      </w:r>
      <w:r>
        <w:rPr/>
        <w:t>发展工业互</w:t>
      </w:r>
      <w:r>
        <w:rPr>
          <w:spacing w:val="-10"/>
          <w:w w:val="99"/>
        </w:rPr>
        <w:t>联网实施方案及配套政策措施》</w:t>
      </w:r>
      <w:r>
        <w:rPr>
          <w:spacing w:val="2"/>
          <w:w w:val="99"/>
        </w:rPr>
        <w:t>（粤府〔</w:t>
      </w:r>
      <w:r>
        <w:rPr>
          <w:rFonts w:ascii="Times New Roman" w:hAnsi="Times New Roman" w:eastAsia="Times New Roman"/>
          <w:spacing w:val="-2"/>
          <w:w w:val="99"/>
        </w:rPr>
        <w:t>2</w:t>
      </w:r>
      <w:r>
        <w:rPr>
          <w:rFonts w:ascii="Times New Roman" w:hAnsi="Times New Roman" w:eastAsia="Times New Roman"/>
          <w:spacing w:val="1"/>
          <w:w w:val="99"/>
        </w:rPr>
        <w:t>018</w:t>
      </w:r>
      <w:r>
        <w:rPr>
          <w:spacing w:val="2"/>
          <w:w w:val="99"/>
        </w:rPr>
        <w:t>〕</w:t>
      </w:r>
      <w:r>
        <w:rPr>
          <w:rFonts w:ascii="Times New Roman" w:hAnsi="Times New Roman" w:eastAsia="Times New Roman"/>
          <w:spacing w:val="1"/>
          <w:w w:val="99"/>
        </w:rPr>
        <w:t>2</w:t>
      </w:r>
      <w:r>
        <w:rPr>
          <w:rFonts w:ascii="Times New Roman" w:hAnsi="Times New Roman" w:eastAsia="Times New Roman"/>
          <w:w w:val="99"/>
        </w:rPr>
        <w:t>3</w:t>
      </w:r>
      <w:r>
        <w:rPr>
          <w:rFonts w:ascii="Times New Roman" w:hAnsi="Times New Roman" w:eastAsia="Times New Roman"/>
          <w:spacing w:val="-1"/>
        </w:rPr>
        <w:t>  </w:t>
      </w:r>
      <w:r>
        <w:rPr>
          <w:spacing w:val="2"/>
          <w:w w:val="99"/>
        </w:rPr>
        <w:t>号</w:t>
      </w:r>
      <w:r>
        <w:rPr>
          <w:spacing w:val="-159"/>
          <w:w w:val="99"/>
        </w:rPr>
        <w:t>）</w:t>
      </w:r>
      <w:r>
        <w:rPr>
          <w:spacing w:val="1"/>
          <w:w w:val="99"/>
        </w:rPr>
        <w:t>，特制订</w:t>
      </w:r>
      <w:r>
        <w:rPr>
          <w:spacing w:val="1"/>
        </w:rPr>
        <w:t>本工作方案。</w:t>
      </w:r>
    </w:p>
    <w:p>
      <w:pPr>
        <w:pStyle w:val="BodyText"/>
        <w:spacing w:before="8"/>
        <w:ind w:left="1149"/>
      </w:pPr>
      <w:r>
        <w:rPr/>
        <w:t>一、工作目标</w:t>
      </w:r>
    </w:p>
    <w:p>
      <w:pPr>
        <w:pStyle w:val="BodyText"/>
        <w:spacing w:line="328" w:lineRule="auto" w:before="149"/>
        <w:ind w:left="508" w:right="384" w:firstLine="640"/>
      </w:pPr>
      <w:r>
        <w:rPr>
          <w:spacing w:val="-31"/>
        </w:rPr>
        <w:t>到 </w:t>
      </w:r>
      <w:r>
        <w:rPr>
          <w:rFonts w:ascii="Times New Roman" w:hAnsi="Times New Roman" w:eastAsia="Times New Roman"/>
        </w:rPr>
        <w:t>2020 </w:t>
      </w:r>
      <w:r>
        <w:rPr>
          <w:spacing w:val="-13"/>
        </w:rPr>
        <w:t>年，支持 </w:t>
      </w:r>
      <w:r>
        <w:rPr>
          <w:rFonts w:ascii="Times New Roman" w:hAnsi="Times New Roman" w:eastAsia="Times New Roman"/>
        </w:rPr>
        <w:t>1 </w:t>
      </w:r>
      <w:r>
        <w:rPr/>
        <w:t>万家工业企业</w:t>
      </w:r>
      <w:r>
        <w:rPr>
          <w:rFonts w:ascii="Times New Roman" w:hAnsi="Times New Roman" w:eastAsia="Times New Roman"/>
        </w:rPr>
        <w:t>“</w:t>
      </w:r>
      <w:r>
        <w:rPr/>
        <w:t>上云上平台</w:t>
      </w:r>
      <w:r>
        <w:rPr>
          <w:rFonts w:ascii="Times New Roman" w:hAnsi="Times New Roman" w:eastAsia="Times New Roman"/>
        </w:rPr>
        <w:t>”</w:t>
      </w:r>
      <w:r>
        <w:rPr/>
        <w:t>，围绕研发</w:t>
      </w:r>
      <w:r>
        <w:rPr>
          <w:spacing w:val="-11"/>
        </w:rPr>
        <w:t>设计、生产管控、经营管理、售后服务等核心业务环节，利用工</w:t>
      </w:r>
      <w:r>
        <w:rPr>
          <w:spacing w:val="-15"/>
        </w:rPr>
        <w:t>业互联网新技术、新工具、新模式，实施数字化转型升级，进一</w:t>
      </w:r>
      <w:r>
        <w:rPr>
          <w:spacing w:val="-22"/>
          <w:w w:val="95"/>
        </w:rPr>
        <w:t>步降低经营成本、提升生产效率、提高产品质量、降低能耗排放、 </w:t>
      </w:r>
      <w:r>
        <w:rPr>
          <w:spacing w:val="-18"/>
        </w:rPr>
        <w:t>优化产业协同等；加快工业互联网应用落地，以用促建、建立完</w:t>
      </w:r>
      <w:r>
        <w:rPr>
          <w:spacing w:val="-22"/>
        </w:rPr>
        <w:t>善工业互联网应用服务体系，培育 </w:t>
      </w:r>
      <w:r>
        <w:rPr>
          <w:rFonts w:ascii="Times New Roman" w:hAnsi="Times New Roman" w:eastAsia="Times New Roman"/>
        </w:rPr>
        <w:t>200 </w:t>
      </w:r>
      <w:r>
        <w:rPr>
          <w:spacing w:val="-9"/>
        </w:rPr>
        <w:t>家技术、产品、模式领先</w:t>
      </w:r>
      <w:r>
        <w:rPr>
          <w:spacing w:val="-13"/>
        </w:rPr>
        <w:t>的工业互联网供应商，形成 </w:t>
      </w:r>
      <w:r>
        <w:rPr>
          <w:rFonts w:ascii="Times New Roman" w:hAnsi="Times New Roman" w:eastAsia="Times New Roman"/>
        </w:rPr>
        <w:t>20 </w:t>
      </w:r>
      <w:r>
        <w:rPr/>
        <w:t>家具备较强实力、国内领先的工业互联网平台。</w:t>
      </w:r>
    </w:p>
    <w:p>
      <w:pPr>
        <w:pStyle w:val="BodyText"/>
        <w:spacing w:line="397" w:lineRule="exact"/>
        <w:ind w:left="1149"/>
      </w:pPr>
      <w:r>
        <w:rPr/>
        <w:t>二、工作重点</w:t>
      </w:r>
    </w:p>
    <w:p>
      <w:pPr>
        <w:pStyle w:val="BodyText"/>
        <w:spacing w:line="328" w:lineRule="auto" w:before="149"/>
        <w:ind w:left="508" w:right="545" w:firstLine="640"/>
        <w:jc w:val="both"/>
      </w:pPr>
      <w:r>
        <w:rPr>
          <w:w w:val="95"/>
        </w:rPr>
        <w:t>（一</w:t>
      </w:r>
      <w:r>
        <w:rPr>
          <w:spacing w:val="-58"/>
          <w:w w:val="95"/>
        </w:rPr>
        <w:t>）</w:t>
      </w:r>
      <w:r>
        <w:rPr>
          <w:spacing w:val="-6"/>
          <w:w w:val="95"/>
        </w:rPr>
        <w:t>重点面向中小工业企业。重点面向量大面广的中小企 </w:t>
      </w:r>
      <w:r>
        <w:rPr>
          <w:spacing w:val="-12"/>
          <w:w w:val="95"/>
        </w:rPr>
        <w:t>业，引导企业提高数字经济转型升级意识，提升运用工业互联网 </w:t>
      </w:r>
      <w:r>
        <w:rPr>
          <w:spacing w:val="-13"/>
          <w:w w:val="95"/>
        </w:rPr>
        <w:t>新技术、新工具、新模式的信心和能力，培育新的产业链协同和 </w:t>
      </w:r>
      <w:r>
        <w:rPr>
          <w:spacing w:val="-13"/>
        </w:rPr>
        <w:t>产业集群发展模式，促进大中小企业融通发展。</w:t>
      </w:r>
    </w:p>
    <w:p>
      <w:pPr>
        <w:pStyle w:val="BodyText"/>
        <w:spacing w:line="328" w:lineRule="auto"/>
        <w:ind w:left="508" w:right="432" w:firstLine="640"/>
      </w:pPr>
      <w:r>
        <w:rPr/>
        <w:t>（二</w:t>
      </w:r>
      <w:r>
        <w:rPr>
          <w:spacing w:val="-39"/>
        </w:rPr>
        <w:t>）</w:t>
      </w:r>
      <w:r>
        <w:rPr>
          <w:spacing w:val="-6"/>
        </w:rPr>
        <w:t>重点普及初级应用阶段。重点满足行业、领域内多数</w:t>
      </w:r>
      <w:r>
        <w:rPr>
          <w:spacing w:val="-12"/>
        </w:rPr>
        <w:t>企业的关键共性需求，支持企业通过使用</w:t>
      </w:r>
      <w:r>
        <w:rPr>
          <w:rFonts w:ascii="Times New Roman" w:hAnsi="Times New Roman" w:eastAsia="Times New Roman"/>
        </w:rPr>
        <w:t>“</w:t>
      </w:r>
      <w:r>
        <w:rPr/>
        <w:t>小而精</w:t>
      </w:r>
      <w:r>
        <w:rPr>
          <w:rFonts w:ascii="Times New Roman" w:hAnsi="Times New Roman" w:eastAsia="Times New Roman"/>
        </w:rPr>
        <w:t>”</w:t>
      </w:r>
      <w:r>
        <w:rPr/>
        <w:t>的应用服务产</w:t>
      </w:r>
      <w:r>
        <w:rPr>
          <w:w w:val="95"/>
        </w:rPr>
        <w:t>品，首先普及业务可视化、管理透明化、以及基于经验的优化， </w:t>
      </w:r>
      <w:r>
        <w:rPr/>
        <w:t>逐步提升数字化和网络化水平。</w:t>
      </w:r>
    </w:p>
    <w:p>
      <w:pPr>
        <w:spacing w:after="0" w:line="328" w:lineRule="auto"/>
        <w:sectPr>
          <w:pgSz w:w="11900" w:h="16840"/>
          <w:pgMar w:header="0" w:footer="1325" w:top="1600" w:bottom="1520" w:left="1080" w:right="920"/>
        </w:sectPr>
      </w:pPr>
    </w:p>
    <w:p>
      <w:pPr>
        <w:pStyle w:val="BodyText"/>
        <w:spacing w:before="5"/>
        <w:rPr>
          <w:sz w:val="20"/>
        </w:rPr>
      </w:pPr>
    </w:p>
    <w:p>
      <w:pPr>
        <w:pStyle w:val="BodyText"/>
        <w:spacing w:line="328" w:lineRule="auto" w:before="65"/>
        <w:ind w:left="508" w:right="542" w:firstLine="640"/>
        <w:jc w:val="both"/>
      </w:pPr>
      <w:r>
        <w:rPr>
          <w:spacing w:val="4"/>
        </w:rPr>
        <w:t>（</w:t>
      </w:r>
      <w:r>
        <w:rPr/>
        <w:t>三</w:t>
      </w:r>
      <w:r>
        <w:rPr>
          <w:spacing w:val="4"/>
        </w:rPr>
        <w:t>）</w:t>
      </w:r>
      <w:r>
        <w:rPr/>
        <w:t>重点针对生产制造环节。重点针对生产制造环节</w:t>
      </w:r>
      <w:r>
        <w:rPr>
          <w:rFonts w:ascii="Times New Roman" w:hAnsi="Times New Roman" w:eastAsia="Times New Roman"/>
        </w:rPr>
        <w:t>“</w:t>
      </w:r>
      <w:r>
        <w:rPr/>
        <w:t>订单</w:t>
      </w:r>
      <w:r>
        <w:rPr>
          <w:rFonts w:ascii="Times New Roman" w:hAnsi="Times New Roman" w:eastAsia="Times New Roman"/>
        </w:rPr>
        <w:t>”</w:t>
      </w:r>
      <w:r>
        <w:rPr/>
        <w:t>、 </w:t>
      </w:r>
      <w:r>
        <w:rPr>
          <w:rFonts w:ascii="Times New Roman" w:hAnsi="Times New Roman" w:eastAsia="Times New Roman"/>
        </w:rPr>
        <w:t>“</w:t>
      </w:r>
      <w:r>
        <w:rPr/>
        <w:t>交期</w:t>
      </w:r>
      <w:r>
        <w:rPr>
          <w:rFonts w:ascii="Times New Roman" w:hAnsi="Times New Roman" w:eastAsia="Times New Roman"/>
        </w:rPr>
        <w:t>”</w:t>
      </w:r>
      <w:r>
        <w:rPr/>
        <w:t>、 </w:t>
      </w:r>
      <w:r>
        <w:rPr>
          <w:rFonts w:ascii="Times New Roman" w:hAnsi="Times New Roman" w:eastAsia="Times New Roman"/>
        </w:rPr>
        <w:t>“</w:t>
      </w:r>
      <w:r>
        <w:rPr/>
        <w:t>成本</w:t>
      </w:r>
      <w:r>
        <w:rPr>
          <w:rFonts w:ascii="Times New Roman" w:hAnsi="Times New Roman" w:eastAsia="Times New Roman"/>
        </w:rPr>
        <w:t>”</w:t>
      </w:r>
      <w:r>
        <w:rPr/>
        <w:t>和</w:t>
      </w:r>
      <w:r>
        <w:rPr>
          <w:rFonts w:ascii="Times New Roman" w:hAnsi="Times New Roman" w:eastAsia="Times New Roman"/>
        </w:rPr>
        <w:t>“</w:t>
      </w:r>
      <w:r>
        <w:rPr/>
        <w:t>质量</w:t>
      </w:r>
      <w:r>
        <w:rPr>
          <w:rFonts w:ascii="Times New Roman" w:hAnsi="Times New Roman" w:eastAsia="Times New Roman"/>
          <w:spacing w:val="39"/>
        </w:rPr>
        <w:t>” </w:t>
      </w:r>
      <w:r>
        <w:rPr/>
        <w:t>等核心要素，抓住关键痛点、</w:t>
      </w:r>
      <w:r>
        <w:rPr>
          <w:spacing w:val="-11"/>
          <w:w w:val="95"/>
        </w:rPr>
        <w:t>细化应用场景，兼顾应用产品的有效性和普适性，帮助企业切实 </w:t>
      </w:r>
      <w:r>
        <w:rPr>
          <w:spacing w:val="-11"/>
        </w:rPr>
        <w:t>提升制造能力和管理水平。</w:t>
      </w:r>
    </w:p>
    <w:p>
      <w:pPr>
        <w:pStyle w:val="BodyText"/>
        <w:spacing w:line="402" w:lineRule="exact"/>
        <w:ind w:left="1149"/>
      </w:pPr>
      <w:r>
        <w:rPr/>
        <w:t>三、相关定义</w:t>
      </w:r>
    </w:p>
    <w:p>
      <w:pPr>
        <w:pStyle w:val="BodyText"/>
        <w:spacing w:line="254" w:lineRule="auto" w:before="6"/>
        <w:ind w:left="508" w:right="545" w:firstLine="643"/>
      </w:pPr>
      <w:r>
        <w:rPr>
          <w:rFonts w:ascii="思源黑体 CN Bold" w:hAnsi="思源黑体 CN Bold" w:eastAsia="思源黑体 CN Bold" w:hint="eastAsia"/>
          <w:b/>
          <w:spacing w:val="12"/>
          <w:w w:val="95"/>
        </w:rPr>
        <w:t>服务券：</w:t>
      </w:r>
      <w:r>
        <w:rPr>
          <w:spacing w:val="9"/>
          <w:w w:val="95"/>
        </w:rPr>
        <w:t>广东省工业企业</w:t>
      </w:r>
      <w:r>
        <w:rPr>
          <w:rFonts w:ascii="Times New Roman" w:hAnsi="Times New Roman" w:eastAsia="Times New Roman"/>
          <w:spacing w:val="9"/>
          <w:w w:val="95"/>
        </w:rPr>
        <w:t>“</w:t>
      </w:r>
      <w:r>
        <w:rPr>
          <w:spacing w:val="9"/>
          <w:w w:val="95"/>
        </w:rPr>
        <w:t>上云上平台</w:t>
      </w:r>
      <w:r>
        <w:rPr>
          <w:rFonts w:ascii="Times New Roman" w:hAnsi="Times New Roman" w:eastAsia="Times New Roman"/>
          <w:spacing w:val="7"/>
          <w:w w:val="95"/>
        </w:rPr>
        <w:t>”</w:t>
      </w:r>
      <w:r>
        <w:rPr>
          <w:spacing w:val="9"/>
          <w:w w:val="95"/>
        </w:rPr>
        <w:t>服务券（</w:t>
      </w:r>
      <w:r>
        <w:rPr>
          <w:spacing w:val="6"/>
          <w:w w:val="95"/>
        </w:rPr>
        <w:t>简称服务</w:t>
      </w:r>
      <w:r>
        <w:rPr>
          <w:spacing w:val="2"/>
          <w:w w:val="99"/>
        </w:rPr>
        <w:t>券</w:t>
      </w:r>
      <w:r>
        <w:rPr>
          <w:spacing w:val="-161"/>
          <w:w w:val="99"/>
        </w:rPr>
        <w:t>）</w:t>
      </w:r>
      <w:r>
        <w:rPr>
          <w:w w:val="99"/>
        </w:rPr>
        <w:t>，是指企业购买工业互联网应用产品的财政奖补凭证。</w:t>
      </w:r>
    </w:p>
    <w:p>
      <w:pPr>
        <w:pStyle w:val="BodyText"/>
        <w:spacing w:line="646" w:lineRule="exact"/>
        <w:ind w:left="1152"/>
      </w:pPr>
      <w:r>
        <w:rPr>
          <w:rFonts w:ascii="思源黑体 CN Bold" w:eastAsia="思源黑体 CN Bold" w:hint="eastAsia"/>
          <w:b/>
        </w:rPr>
        <w:t>工业 </w:t>
      </w:r>
      <w:r>
        <w:rPr>
          <w:rFonts w:ascii="Times New Roman" w:eastAsia="Times New Roman"/>
        </w:rPr>
        <w:t>SaaS</w:t>
      </w:r>
      <w:r>
        <w:rPr>
          <w:rFonts w:ascii="思源黑体 CN Bold" w:eastAsia="思源黑体 CN Bold" w:hint="eastAsia"/>
          <w:b/>
        </w:rPr>
        <w:t>：</w:t>
      </w:r>
      <w:r>
        <w:rPr/>
        <w:t>面向特定行业或特定领域的具体应用场景，精</w:t>
      </w:r>
    </w:p>
    <w:p>
      <w:pPr>
        <w:pStyle w:val="BodyText"/>
        <w:spacing w:before="39"/>
        <w:ind w:left="508"/>
      </w:pPr>
      <w:r>
        <w:rPr/>
        <w:t>准解决某类问题的新型工业软件，符合以下特征：</w:t>
      </w:r>
    </w:p>
    <w:p>
      <w:pPr>
        <w:pStyle w:val="BodyText"/>
        <w:spacing w:line="326" w:lineRule="auto" w:before="151"/>
        <w:ind w:left="508" w:right="545" w:firstLine="640"/>
        <w:jc w:val="both"/>
      </w:pPr>
      <w:r>
        <w:rPr>
          <w:rFonts w:ascii="Times New Roman" w:hAnsi="Times New Roman" w:eastAsia="Times New Roman"/>
          <w:w w:val="95"/>
        </w:rPr>
        <w:t>——</w:t>
      </w:r>
      <w:r>
        <w:rPr>
          <w:spacing w:val="-11"/>
          <w:w w:val="95"/>
        </w:rPr>
        <w:t>低成本：应用云计算、物联网等新技术手段降低企业使 </w:t>
      </w:r>
      <w:r>
        <w:rPr>
          <w:spacing w:val="-16"/>
          <w:w w:val="95"/>
        </w:rPr>
        <w:t>用成本和供应商服务成本，采用按使用付费、按效果付费等模式 </w:t>
      </w:r>
      <w:r>
        <w:rPr>
          <w:spacing w:val="-16"/>
        </w:rPr>
        <w:t>降低企业一次性投入成本和风险；</w:t>
      </w:r>
    </w:p>
    <w:p>
      <w:pPr>
        <w:pStyle w:val="BodyText"/>
        <w:spacing w:line="326" w:lineRule="auto" w:before="7"/>
        <w:ind w:left="508" w:right="386" w:firstLine="640"/>
      </w:pPr>
      <w:r>
        <w:rPr>
          <w:rFonts w:ascii="Times New Roman" w:hAnsi="Times New Roman" w:eastAsia="Times New Roman"/>
        </w:rPr>
        <w:t>——</w:t>
      </w:r>
      <w:r>
        <w:rPr>
          <w:spacing w:val="-12"/>
        </w:rPr>
        <w:t>快部署：产品化程度高，现场实施追求对正常生产的干</w:t>
      </w:r>
      <w:r>
        <w:rPr>
          <w:spacing w:val="-22"/>
        </w:rPr>
        <w:t>扰最低化；软件采用多租户 </w:t>
      </w:r>
      <w:r>
        <w:rPr>
          <w:rFonts w:ascii="Times New Roman" w:hAnsi="Times New Roman" w:eastAsia="Times New Roman"/>
        </w:rPr>
        <w:t>SaaS</w:t>
      </w:r>
      <w:r>
        <w:rPr>
          <w:rFonts w:ascii="Times New Roman" w:hAnsi="Times New Roman" w:eastAsia="Times New Roman"/>
          <w:spacing w:val="-7"/>
        </w:rPr>
        <w:t> </w:t>
      </w:r>
      <w:r>
        <w:rPr/>
        <w:t>或单租户应用的容器分发部署， 以功能配置为主；</w:t>
      </w:r>
    </w:p>
    <w:p>
      <w:pPr>
        <w:pStyle w:val="BodyText"/>
        <w:spacing w:line="326" w:lineRule="auto" w:before="8"/>
        <w:ind w:left="508" w:right="545" w:firstLine="640"/>
        <w:jc w:val="both"/>
      </w:pPr>
      <w:r>
        <w:rPr>
          <w:rFonts w:ascii="Times New Roman" w:hAnsi="Times New Roman" w:eastAsia="Times New Roman"/>
          <w:w w:val="95"/>
        </w:rPr>
        <w:t>——</w:t>
      </w:r>
      <w:r>
        <w:rPr>
          <w:spacing w:val="-11"/>
          <w:w w:val="95"/>
        </w:rPr>
        <w:t>重服务：深入挖掘企业需求，面向企业用户易操作，通 </w:t>
      </w:r>
      <w:r>
        <w:rPr>
          <w:spacing w:val="-16"/>
          <w:w w:val="95"/>
        </w:rPr>
        <w:t>过持续的产品创新和模式创新为企业提供精准服务，帮助企业实 </w:t>
      </w:r>
      <w:r>
        <w:rPr>
          <w:spacing w:val="-16"/>
        </w:rPr>
        <w:t>现持续改善，为企业创造业务价值；</w:t>
      </w:r>
    </w:p>
    <w:p>
      <w:pPr>
        <w:pStyle w:val="BodyText"/>
        <w:spacing w:line="326" w:lineRule="auto" w:before="7"/>
        <w:ind w:left="508" w:right="545" w:firstLine="640"/>
      </w:pPr>
      <w:r>
        <w:rPr>
          <w:rFonts w:ascii="Times New Roman" w:hAnsi="Times New Roman" w:eastAsia="Times New Roman"/>
          <w:w w:val="95"/>
        </w:rPr>
        <w:t>——</w:t>
      </w:r>
      <w:r>
        <w:rPr>
          <w:spacing w:val="-11"/>
          <w:w w:val="95"/>
        </w:rPr>
        <w:t>可集成：应用开源工具或提供数据接口，较易集成当前 </w:t>
      </w:r>
      <w:r>
        <w:rPr>
          <w:spacing w:val="-11"/>
        </w:rPr>
        <w:t>主流的企业管理软件；</w:t>
      </w:r>
    </w:p>
    <w:p>
      <w:pPr>
        <w:pStyle w:val="BodyText"/>
        <w:spacing w:line="328" w:lineRule="auto" w:before="3"/>
        <w:ind w:left="508" w:right="545" w:firstLine="640"/>
      </w:pPr>
      <w:r>
        <w:rPr>
          <w:rFonts w:ascii="Times New Roman" w:hAnsi="Times New Roman" w:eastAsia="Times New Roman"/>
          <w:w w:val="95"/>
        </w:rPr>
        <w:t>——</w:t>
      </w:r>
      <w:r>
        <w:rPr>
          <w:spacing w:val="-11"/>
          <w:w w:val="95"/>
        </w:rPr>
        <w:t>强安全：有效保障设备安全、控制安全、网络安全、应 </w:t>
      </w:r>
      <w:r>
        <w:rPr>
          <w:spacing w:val="-11"/>
        </w:rPr>
        <w:t>用安全、数据安全。</w:t>
      </w:r>
    </w:p>
    <w:p>
      <w:pPr>
        <w:pStyle w:val="BodyText"/>
        <w:spacing w:line="407" w:lineRule="exact"/>
        <w:ind w:left="1149"/>
      </w:pPr>
      <w:r>
        <w:rPr/>
        <w:t>四、服务券发放对象、奖补方式和标准</w:t>
      </w:r>
    </w:p>
    <w:p>
      <w:pPr>
        <w:pStyle w:val="BodyText"/>
        <w:spacing w:before="149"/>
        <w:ind w:left="1149"/>
      </w:pPr>
      <w:r>
        <w:rPr/>
        <w:t>（一）发放对象</w:t>
      </w:r>
    </w:p>
    <w:p>
      <w:pPr>
        <w:spacing w:after="0"/>
        <w:sectPr>
          <w:pgSz w:w="11900" w:h="16840"/>
          <w:pgMar w:header="0" w:footer="1325" w:top="1600" w:bottom="1520" w:left="1080" w:right="920"/>
        </w:sectPr>
      </w:pPr>
    </w:p>
    <w:p>
      <w:pPr>
        <w:pStyle w:val="BodyText"/>
        <w:spacing w:before="3"/>
        <w:rPr>
          <w:sz w:val="21"/>
        </w:rPr>
      </w:pPr>
    </w:p>
    <w:p>
      <w:pPr>
        <w:pStyle w:val="BodyText"/>
        <w:spacing w:before="54"/>
        <w:ind w:left="1149"/>
      </w:pPr>
      <w:r>
        <w:rPr/>
        <w:t>本方案服务券的发放对象为工业企业，满足以下条件：</w:t>
      </w:r>
    </w:p>
    <w:p>
      <w:pPr>
        <w:pStyle w:val="ListParagraph"/>
        <w:numPr>
          <w:ilvl w:val="0"/>
          <w:numId w:val="1"/>
        </w:numPr>
        <w:tabs>
          <w:tab w:pos="1392" w:val="left" w:leader="none"/>
        </w:tabs>
        <w:spacing w:line="240" w:lineRule="auto" w:before="149" w:after="0"/>
        <w:ind w:left="1391" w:right="0" w:hanging="243"/>
        <w:jc w:val="left"/>
        <w:rPr>
          <w:sz w:val="32"/>
        </w:rPr>
      </w:pPr>
      <w:r>
        <w:rPr>
          <w:sz w:val="32"/>
        </w:rPr>
        <w:t>在广东省内依法设立并有效存续；</w:t>
      </w:r>
    </w:p>
    <w:p>
      <w:pPr>
        <w:pStyle w:val="ListParagraph"/>
        <w:numPr>
          <w:ilvl w:val="0"/>
          <w:numId w:val="1"/>
        </w:numPr>
        <w:tabs>
          <w:tab w:pos="1392" w:val="left" w:leader="none"/>
        </w:tabs>
        <w:spacing w:line="240" w:lineRule="auto" w:before="149" w:after="0"/>
        <w:ind w:left="1391" w:right="0" w:hanging="243"/>
        <w:jc w:val="left"/>
        <w:rPr>
          <w:sz w:val="32"/>
        </w:rPr>
      </w:pPr>
      <w:r>
        <w:rPr>
          <w:spacing w:val="-20"/>
          <w:sz w:val="32"/>
        </w:rPr>
        <w:t>企业近 </w:t>
      </w:r>
      <w:r>
        <w:rPr>
          <w:rFonts w:ascii="Times New Roman" w:eastAsia="Times New Roman"/>
          <w:sz w:val="32"/>
        </w:rPr>
        <w:t>5</w:t>
      </w:r>
      <w:r>
        <w:rPr>
          <w:rFonts w:ascii="Times New Roman" w:eastAsia="Times New Roman"/>
          <w:spacing w:val="-1"/>
          <w:sz w:val="32"/>
        </w:rPr>
        <w:t> </w:t>
      </w:r>
      <w:r>
        <w:rPr>
          <w:sz w:val="32"/>
        </w:rPr>
        <w:t>年内未出现过财政资金严重违法违规情况；</w:t>
      </w:r>
    </w:p>
    <w:p>
      <w:pPr>
        <w:pStyle w:val="ListParagraph"/>
        <w:numPr>
          <w:ilvl w:val="0"/>
          <w:numId w:val="1"/>
        </w:numPr>
        <w:tabs>
          <w:tab w:pos="1392" w:val="left" w:leader="none"/>
        </w:tabs>
        <w:spacing w:line="240" w:lineRule="auto" w:before="152" w:after="0"/>
        <w:ind w:left="1391" w:right="0" w:hanging="243"/>
        <w:jc w:val="left"/>
        <w:rPr>
          <w:sz w:val="32"/>
        </w:rPr>
      </w:pPr>
      <w:r>
        <w:rPr>
          <w:sz w:val="32"/>
        </w:rPr>
        <w:t>企业</w:t>
      </w:r>
      <w:r>
        <w:rPr>
          <w:rFonts w:ascii="Times New Roman" w:hAnsi="Times New Roman" w:eastAsia="Times New Roman"/>
          <w:sz w:val="32"/>
        </w:rPr>
        <w:t>“</w:t>
      </w:r>
      <w:r>
        <w:rPr>
          <w:sz w:val="32"/>
        </w:rPr>
        <w:t>上云上平台</w:t>
      </w:r>
      <w:r>
        <w:rPr>
          <w:rFonts w:ascii="Times New Roman" w:hAnsi="Times New Roman" w:eastAsia="Times New Roman"/>
          <w:sz w:val="32"/>
        </w:rPr>
        <w:t>”</w:t>
      </w:r>
      <w:r>
        <w:rPr>
          <w:sz w:val="32"/>
        </w:rPr>
        <w:t>涉及的内容，未获得过其他财政专项资</w:t>
      </w:r>
    </w:p>
    <w:p>
      <w:pPr>
        <w:pStyle w:val="BodyText"/>
        <w:spacing w:before="149"/>
        <w:ind w:left="508"/>
      </w:pPr>
      <w:r>
        <w:rPr/>
        <w:t>金；</w:t>
      </w:r>
    </w:p>
    <w:p>
      <w:pPr>
        <w:pStyle w:val="ListParagraph"/>
        <w:numPr>
          <w:ilvl w:val="0"/>
          <w:numId w:val="1"/>
        </w:numPr>
        <w:tabs>
          <w:tab w:pos="1402" w:val="left" w:leader="none"/>
        </w:tabs>
        <w:spacing w:line="240" w:lineRule="auto" w:before="149" w:after="0"/>
        <w:ind w:left="1401" w:right="0" w:hanging="253"/>
        <w:jc w:val="left"/>
        <w:rPr>
          <w:sz w:val="32"/>
        </w:rPr>
      </w:pPr>
      <w:r>
        <w:rPr>
          <w:spacing w:val="12"/>
          <w:sz w:val="32"/>
        </w:rPr>
        <w:t>项目合同中已获得</w:t>
      </w:r>
      <w:r>
        <w:rPr>
          <w:rFonts w:ascii="Times New Roman" w:hAnsi="Times New Roman" w:eastAsia="Times New Roman"/>
          <w:spacing w:val="14"/>
          <w:sz w:val="32"/>
        </w:rPr>
        <w:t>“</w:t>
      </w:r>
      <w:r>
        <w:rPr>
          <w:spacing w:val="12"/>
          <w:sz w:val="32"/>
        </w:rPr>
        <w:t>上云上平台</w:t>
      </w:r>
      <w:r>
        <w:rPr>
          <w:rFonts w:ascii="Times New Roman" w:hAnsi="Times New Roman" w:eastAsia="Times New Roman"/>
          <w:spacing w:val="12"/>
          <w:sz w:val="32"/>
        </w:rPr>
        <w:t>”</w:t>
      </w:r>
      <w:r>
        <w:rPr>
          <w:spacing w:val="10"/>
          <w:sz w:val="32"/>
        </w:rPr>
        <w:t>服务券奖补的项目内容</w:t>
      </w:r>
    </w:p>
    <w:p>
      <w:pPr>
        <w:pStyle w:val="BodyText"/>
        <w:spacing w:before="152"/>
        <w:ind w:left="508"/>
      </w:pPr>
      <w:r>
        <w:rPr/>
        <w:t>不得重复申请。</w:t>
      </w:r>
    </w:p>
    <w:p>
      <w:pPr>
        <w:pStyle w:val="BodyText"/>
        <w:spacing w:before="149"/>
        <w:ind w:left="1149"/>
      </w:pPr>
      <w:r>
        <w:rPr/>
        <w:t>（二）奖补方式</w:t>
      </w:r>
    </w:p>
    <w:p>
      <w:pPr>
        <w:pStyle w:val="BodyText"/>
        <w:spacing w:line="328" w:lineRule="auto" w:before="149"/>
        <w:ind w:left="508" w:right="545" w:firstLine="640"/>
        <w:jc w:val="both"/>
      </w:pPr>
      <w:r>
        <w:rPr>
          <w:spacing w:val="-10"/>
          <w:w w:val="95"/>
        </w:rPr>
        <w:t>采取事后奖补方式，对服务券予以兑现。申领服务券的工业 </w:t>
      </w:r>
      <w:r>
        <w:rPr>
          <w:spacing w:val="-15"/>
          <w:w w:val="95"/>
        </w:rPr>
        <w:t>企业先与供应商签订合同后，依据合同申领服务券；合同实施完 </w:t>
      </w:r>
      <w:r>
        <w:rPr>
          <w:spacing w:val="-15"/>
        </w:rPr>
        <w:t>成后，凭借发票及支付凭证兑现服务券。</w:t>
      </w:r>
    </w:p>
    <w:p>
      <w:pPr>
        <w:pStyle w:val="BodyText"/>
        <w:spacing w:line="405" w:lineRule="exact"/>
        <w:ind w:left="1147"/>
      </w:pPr>
      <w:r>
        <w:rPr/>
        <w:t>（三）实施地点</w:t>
      </w:r>
    </w:p>
    <w:p>
      <w:pPr>
        <w:pStyle w:val="BodyText"/>
        <w:spacing w:line="326" w:lineRule="auto" w:before="152"/>
        <w:ind w:left="508" w:right="542" w:firstLine="640"/>
      </w:pPr>
      <w:r>
        <w:rPr>
          <w:w w:val="95"/>
        </w:rPr>
        <w:t>企业</w:t>
      </w:r>
      <w:r>
        <w:rPr>
          <w:rFonts w:ascii="Times New Roman" w:hAnsi="Times New Roman" w:eastAsia="Times New Roman"/>
          <w:w w:val="95"/>
        </w:rPr>
        <w:t>“</w:t>
      </w:r>
      <w:r>
        <w:rPr>
          <w:w w:val="95"/>
        </w:rPr>
        <w:t>上云上平台</w:t>
      </w:r>
      <w:r>
        <w:rPr>
          <w:rFonts w:ascii="Times New Roman" w:hAnsi="Times New Roman" w:eastAsia="Times New Roman"/>
          <w:w w:val="95"/>
        </w:rPr>
        <w:t>”</w:t>
      </w:r>
      <w:r>
        <w:rPr>
          <w:spacing w:val="-7"/>
          <w:w w:val="95"/>
        </w:rPr>
        <w:t>的实施地点应在广东省内。购买设备后服 </w:t>
      </w:r>
      <w:r>
        <w:rPr>
          <w:spacing w:val="-7"/>
        </w:rPr>
        <w:t>务类应用产品的，上云设备可在省外。</w:t>
      </w:r>
    </w:p>
    <w:p>
      <w:pPr>
        <w:pStyle w:val="BodyText"/>
        <w:spacing w:before="3"/>
        <w:ind w:left="1149"/>
      </w:pPr>
      <w:r>
        <w:rPr/>
        <w:t>（四）奖补标准</w:t>
      </w:r>
    </w:p>
    <w:p>
      <w:pPr>
        <w:pStyle w:val="ListParagraph"/>
        <w:numPr>
          <w:ilvl w:val="0"/>
          <w:numId w:val="2"/>
        </w:numPr>
        <w:tabs>
          <w:tab w:pos="1395" w:val="left" w:leader="none"/>
        </w:tabs>
        <w:spacing w:line="326" w:lineRule="auto" w:before="152" w:after="0"/>
        <w:ind w:left="508" w:right="542" w:firstLine="640"/>
        <w:jc w:val="both"/>
        <w:rPr>
          <w:sz w:val="32"/>
        </w:rPr>
      </w:pPr>
      <w:r>
        <w:rPr>
          <w:spacing w:val="5"/>
          <w:w w:val="95"/>
          <w:sz w:val="32"/>
        </w:rPr>
        <w:t>省工业和信息化厅发布</w:t>
      </w:r>
      <w:r>
        <w:rPr>
          <w:rFonts w:ascii="Times New Roman" w:hAnsi="Times New Roman" w:eastAsia="Times New Roman"/>
          <w:spacing w:val="7"/>
          <w:w w:val="95"/>
          <w:sz w:val="32"/>
        </w:rPr>
        <w:t>“</w:t>
      </w:r>
      <w:r>
        <w:rPr>
          <w:spacing w:val="3"/>
          <w:w w:val="95"/>
          <w:sz w:val="32"/>
        </w:rPr>
        <w:t>广东省工业企业上云上平台应用 </w:t>
      </w:r>
      <w:r>
        <w:rPr>
          <w:spacing w:val="1"/>
          <w:sz w:val="32"/>
        </w:rPr>
        <w:t>产品目录</w:t>
      </w:r>
      <w:r>
        <w:rPr>
          <w:sz w:val="32"/>
        </w:rPr>
        <w:t>（以下简称目录</w:t>
      </w:r>
      <w:r>
        <w:rPr>
          <w:spacing w:val="2"/>
          <w:sz w:val="32"/>
        </w:rPr>
        <w:t>）</w:t>
      </w:r>
      <w:r>
        <w:rPr>
          <w:rFonts w:ascii="Times New Roman" w:hAnsi="Times New Roman" w:eastAsia="Times New Roman"/>
          <w:spacing w:val="2"/>
          <w:sz w:val="32"/>
        </w:rPr>
        <w:t>”</w:t>
      </w:r>
      <w:r>
        <w:rPr>
          <w:sz w:val="32"/>
        </w:rPr>
        <w:t>，对纳入奖补的应用产品和奖补上限等予以明确。</w:t>
      </w:r>
    </w:p>
    <w:p>
      <w:pPr>
        <w:pStyle w:val="ListParagraph"/>
        <w:numPr>
          <w:ilvl w:val="0"/>
          <w:numId w:val="2"/>
        </w:numPr>
        <w:tabs>
          <w:tab w:pos="1392" w:val="left" w:leader="none"/>
        </w:tabs>
        <w:spacing w:line="328" w:lineRule="auto" w:before="7" w:after="0"/>
        <w:ind w:left="508" w:right="384" w:firstLine="640"/>
        <w:jc w:val="left"/>
        <w:rPr>
          <w:sz w:val="32"/>
        </w:rPr>
      </w:pPr>
      <w:r>
        <w:rPr>
          <w:spacing w:val="-3"/>
          <w:sz w:val="32"/>
        </w:rPr>
        <w:t>企业购买使用某一项应用产品，按照实际合同额的百分比</w:t>
      </w:r>
      <w:r>
        <w:rPr>
          <w:spacing w:val="-40"/>
          <w:w w:val="99"/>
          <w:sz w:val="32"/>
        </w:rPr>
        <w:t>予以奖补</w:t>
      </w:r>
      <w:r>
        <w:rPr>
          <w:spacing w:val="2"/>
          <w:w w:val="99"/>
          <w:sz w:val="32"/>
        </w:rPr>
        <w:t>（</w:t>
      </w:r>
      <w:r>
        <w:rPr>
          <w:rFonts w:ascii="Times New Roman" w:eastAsia="Times New Roman"/>
          <w:w w:val="99"/>
          <w:sz w:val="32"/>
        </w:rPr>
        <w:t>A</w:t>
      </w:r>
      <w:r>
        <w:rPr>
          <w:rFonts w:ascii="Times New Roman" w:eastAsia="Times New Roman"/>
          <w:spacing w:val="-35"/>
          <w:sz w:val="32"/>
        </w:rPr>
        <w:t> </w:t>
      </w:r>
      <w:r>
        <w:rPr>
          <w:spacing w:val="6"/>
          <w:w w:val="99"/>
          <w:sz w:val="32"/>
        </w:rPr>
        <w:t>类应用奖补比例为</w:t>
      </w:r>
      <w:r>
        <w:rPr>
          <w:rFonts w:ascii="Times New Roman" w:eastAsia="Times New Roman"/>
          <w:spacing w:val="1"/>
          <w:w w:val="99"/>
          <w:sz w:val="32"/>
        </w:rPr>
        <w:t>8</w:t>
      </w:r>
      <w:r>
        <w:rPr>
          <w:rFonts w:ascii="Times New Roman" w:eastAsia="Times New Roman"/>
          <w:spacing w:val="-2"/>
          <w:w w:val="99"/>
          <w:sz w:val="32"/>
        </w:rPr>
        <w:t>0</w:t>
      </w:r>
      <w:r>
        <w:rPr>
          <w:rFonts w:ascii="Times New Roman" w:eastAsia="Times New Roman"/>
          <w:w w:val="99"/>
          <w:sz w:val="32"/>
        </w:rPr>
        <w:t>%</w:t>
      </w:r>
      <w:r>
        <w:rPr>
          <w:spacing w:val="-159"/>
          <w:w w:val="99"/>
          <w:sz w:val="32"/>
        </w:rPr>
        <w:t>，</w:t>
      </w:r>
      <w:r>
        <w:rPr>
          <w:rFonts w:ascii="Times New Roman" w:eastAsia="Times New Roman"/>
          <w:w w:val="99"/>
          <w:sz w:val="32"/>
        </w:rPr>
        <w:t>B</w:t>
      </w:r>
      <w:r>
        <w:rPr>
          <w:rFonts w:ascii="Times New Roman" w:eastAsia="Times New Roman"/>
          <w:spacing w:val="-34"/>
          <w:sz w:val="32"/>
        </w:rPr>
        <w:t> </w:t>
      </w:r>
      <w:r>
        <w:rPr>
          <w:spacing w:val="6"/>
          <w:w w:val="99"/>
          <w:sz w:val="32"/>
        </w:rPr>
        <w:t>类应用奖补比例为</w:t>
      </w:r>
      <w:r>
        <w:rPr>
          <w:rFonts w:ascii="Times New Roman" w:eastAsia="Times New Roman"/>
          <w:spacing w:val="1"/>
          <w:w w:val="99"/>
          <w:sz w:val="32"/>
        </w:rPr>
        <w:t>40</w:t>
      </w:r>
      <w:r>
        <w:rPr>
          <w:rFonts w:ascii="Times New Roman" w:eastAsia="Times New Roman"/>
          <w:w w:val="99"/>
          <w:sz w:val="32"/>
        </w:rPr>
        <w:t>%</w:t>
      </w:r>
      <w:r>
        <w:rPr>
          <w:spacing w:val="-161"/>
          <w:w w:val="99"/>
          <w:sz w:val="32"/>
        </w:rPr>
        <w:t>）</w:t>
      </w:r>
      <w:r>
        <w:rPr>
          <w:w w:val="99"/>
          <w:sz w:val="32"/>
        </w:rPr>
        <w:t>，</w:t>
      </w:r>
      <w:r>
        <w:rPr>
          <w:spacing w:val="-7"/>
          <w:sz w:val="32"/>
        </w:rPr>
        <w:t>且不超出该应用所属目录分类的奖补上限</w:t>
      </w:r>
      <w:r>
        <w:rPr>
          <w:sz w:val="32"/>
        </w:rPr>
        <w:t>（具体奖补上限见应用产品目录</w:t>
      </w:r>
      <w:r>
        <w:rPr>
          <w:spacing w:val="-161"/>
          <w:sz w:val="32"/>
        </w:rPr>
        <w:t>）</w:t>
      </w:r>
      <w:r>
        <w:rPr>
          <w:sz w:val="32"/>
        </w:rPr>
        <w:t>。</w:t>
      </w:r>
    </w:p>
    <w:p>
      <w:pPr>
        <w:pStyle w:val="ListParagraph"/>
        <w:numPr>
          <w:ilvl w:val="0"/>
          <w:numId w:val="2"/>
        </w:numPr>
        <w:tabs>
          <w:tab w:pos="1392" w:val="left" w:leader="none"/>
        </w:tabs>
        <w:spacing w:line="326" w:lineRule="auto" w:before="0" w:after="0"/>
        <w:ind w:left="508" w:right="545" w:firstLine="640"/>
        <w:jc w:val="left"/>
        <w:rPr>
          <w:sz w:val="32"/>
        </w:rPr>
      </w:pPr>
      <w:r>
        <w:rPr>
          <w:spacing w:val="-2"/>
          <w:w w:val="95"/>
          <w:sz w:val="32"/>
        </w:rPr>
        <w:t>企业在每个服务券发放周期内可申请多张服务券，但服务 </w:t>
      </w:r>
      <w:r>
        <w:rPr>
          <w:spacing w:val="-10"/>
          <w:w w:val="95"/>
          <w:sz w:val="32"/>
        </w:rPr>
        <w:t>券总额不超出累计奖补上限。申请多张服务券时，按照申请顺序</w:t>
      </w:r>
    </w:p>
    <w:p>
      <w:pPr>
        <w:spacing w:after="0" w:line="326" w:lineRule="auto"/>
        <w:jc w:val="left"/>
        <w:rPr>
          <w:sz w:val="32"/>
        </w:rPr>
        <w:sectPr>
          <w:pgSz w:w="11900" w:h="16840"/>
          <w:pgMar w:header="0" w:footer="1325" w:top="1600" w:bottom="1520" w:left="1080" w:right="920"/>
        </w:sectPr>
      </w:pPr>
    </w:p>
    <w:p>
      <w:pPr>
        <w:pStyle w:val="BodyText"/>
        <w:spacing w:before="3"/>
        <w:rPr>
          <w:sz w:val="21"/>
        </w:rPr>
      </w:pPr>
    </w:p>
    <w:p>
      <w:pPr>
        <w:pStyle w:val="BodyText"/>
        <w:spacing w:before="54"/>
        <w:ind w:left="508"/>
      </w:pPr>
      <w:r>
        <w:rPr/>
        <w:t>优先核定先申请服务券的奖补金额。</w:t>
      </w:r>
    </w:p>
    <w:p>
      <w:pPr>
        <w:pStyle w:val="ListParagraph"/>
        <w:numPr>
          <w:ilvl w:val="0"/>
          <w:numId w:val="2"/>
        </w:numPr>
        <w:tabs>
          <w:tab w:pos="1389" w:val="left" w:leader="none"/>
        </w:tabs>
        <w:spacing w:line="326" w:lineRule="auto" w:before="149" w:after="0"/>
        <w:ind w:left="508" w:right="547" w:firstLine="638"/>
        <w:jc w:val="left"/>
        <w:rPr>
          <w:sz w:val="32"/>
        </w:rPr>
      </w:pPr>
      <w:r>
        <w:rPr>
          <w:spacing w:val="-3"/>
          <w:w w:val="95"/>
          <w:sz w:val="32"/>
        </w:rPr>
        <w:t>目录根据政策实施情况不断迭代更新。新目录发布后所申 </w:t>
      </w:r>
      <w:r>
        <w:rPr>
          <w:spacing w:val="-3"/>
          <w:sz w:val="32"/>
        </w:rPr>
        <w:t>请的服务券，按照新标准奖补。</w:t>
      </w:r>
    </w:p>
    <w:p>
      <w:pPr>
        <w:pStyle w:val="ListParagraph"/>
        <w:numPr>
          <w:ilvl w:val="0"/>
          <w:numId w:val="2"/>
        </w:numPr>
        <w:tabs>
          <w:tab w:pos="1392" w:val="left" w:leader="none"/>
        </w:tabs>
        <w:spacing w:line="326" w:lineRule="auto" w:before="6" w:after="0"/>
        <w:ind w:left="508" w:right="545" w:firstLine="640"/>
        <w:jc w:val="left"/>
        <w:rPr>
          <w:sz w:val="32"/>
        </w:rPr>
      </w:pPr>
      <w:r>
        <w:rPr>
          <w:spacing w:val="-3"/>
          <w:w w:val="95"/>
          <w:sz w:val="32"/>
        </w:rPr>
        <w:t>已通过两化融合管理体系贯标评定、且未获得省财政贯标 </w:t>
      </w:r>
      <w:r>
        <w:rPr>
          <w:spacing w:val="-7"/>
          <w:sz w:val="32"/>
        </w:rPr>
        <w:t>评定奖补资金的企业，在服务券兑现时一次性奖励 </w:t>
      </w:r>
      <w:r>
        <w:rPr>
          <w:rFonts w:ascii="Times New Roman" w:eastAsia="Times New Roman"/>
          <w:sz w:val="32"/>
        </w:rPr>
        <w:t>10</w:t>
      </w:r>
      <w:r>
        <w:rPr>
          <w:rFonts w:ascii="Times New Roman" w:eastAsia="Times New Roman"/>
          <w:spacing w:val="-2"/>
          <w:sz w:val="32"/>
        </w:rPr>
        <w:t> </w:t>
      </w:r>
      <w:r>
        <w:rPr>
          <w:sz w:val="32"/>
        </w:rPr>
        <w:t>万元。</w:t>
      </w:r>
    </w:p>
    <w:p>
      <w:pPr>
        <w:pStyle w:val="BodyText"/>
        <w:spacing w:before="3"/>
        <w:ind w:left="1149"/>
      </w:pPr>
      <w:r>
        <w:rPr/>
        <w:t>五、工作流程</w:t>
      </w:r>
    </w:p>
    <w:p>
      <w:pPr>
        <w:pStyle w:val="BodyText"/>
        <w:spacing w:before="152"/>
        <w:ind w:left="1149"/>
      </w:pPr>
      <w:r>
        <w:rPr/>
        <w:t>（一）服务券统筹</w:t>
      </w:r>
    </w:p>
    <w:p>
      <w:pPr>
        <w:pStyle w:val="ListParagraph"/>
        <w:numPr>
          <w:ilvl w:val="0"/>
          <w:numId w:val="3"/>
        </w:numPr>
        <w:tabs>
          <w:tab w:pos="1392" w:val="left" w:leader="none"/>
        </w:tabs>
        <w:spacing w:line="328" w:lineRule="auto" w:before="149" w:after="0"/>
        <w:ind w:left="508" w:right="544" w:firstLine="640"/>
        <w:jc w:val="both"/>
        <w:rPr>
          <w:sz w:val="32"/>
        </w:rPr>
      </w:pPr>
      <w:r>
        <w:rPr>
          <w:w w:val="95"/>
          <w:sz w:val="32"/>
        </w:rPr>
        <w:t>省工业和信息化厅制定年度</w:t>
      </w:r>
      <w:r>
        <w:rPr>
          <w:rFonts w:ascii="Times New Roman" w:hAnsi="Times New Roman" w:eastAsia="Times New Roman"/>
          <w:w w:val="95"/>
          <w:sz w:val="32"/>
        </w:rPr>
        <w:t>“</w:t>
      </w:r>
      <w:r>
        <w:rPr>
          <w:w w:val="95"/>
          <w:sz w:val="32"/>
        </w:rPr>
        <w:t>上云上平台</w:t>
      </w:r>
      <w:r>
        <w:rPr>
          <w:rFonts w:ascii="Times New Roman" w:hAnsi="Times New Roman" w:eastAsia="Times New Roman"/>
          <w:w w:val="95"/>
          <w:sz w:val="32"/>
        </w:rPr>
        <w:t>”</w:t>
      </w:r>
      <w:r>
        <w:rPr>
          <w:w w:val="95"/>
          <w:sz w:val="32"/>
        </w:rPr>
        <w:t>目标，按照地市 </w:t>
      </w:r>
      <w:r>
        <w:rPr>
          <w:spacing w:val="-9"/>
          <w:sz w:val="32"/>
        </w:rPr>
        <w:t>工业总产值、供应商服务能力、前一阶段</w:t>
      </w:r>
      <w:r>
        <w:rPr>
          <w:rFonts w:ascii="Times New Roman" w:hAnsi="Times New Roman" w:eastAsia="Times New Roman"/>
          <w:sz w:val="32"/>
        </w:rPr>
        <w:t>“</w:t>
      </w:r>
      <w:r>
        <w:rPr>
          <w:sz w:val="32"/>
        </w:rPr>
        <w:t>上云上平台</w:t>
      </w:r>
      <w:r>
        <w:rPr>
          <w:rFonts w:ascii="Times New Roman" w:hAnsi="Times New Roman" w:eastAsia="Times New Roman"/>
          <w:spacing w:val="-3"/>
          <w:sz w:val="32"/>
        </w:rPr>
        <w:t>”</w:t>
      </w:r>
      <w:r>
        <w:rPr>
          <w:sz w:val="32"/>
        </w:rPr>
        <w:t>工作完成</w:t>
      </w:r>
      <w:r>
        <w:rPr>
          <w:spacing w:val="-18"/>
          <w:w w:val="95"/>
          <w:sz w:val="32"/>
        </w:rPr>
        <w:t>情况等因素，将服务券额度分配给各地市和供应商；定期发布</w:t>
      </w:r>
      <w:r>
        <w:rPr>
          <w:rFonts w:ascii="Times New Roman" w:hAnsi="Times New Roman" w:eastAsia="Times New Roman"/>
          <w:w w:val="95"/>
          <w:sz w:val="32"/>
        </w:rPr>
        <w:t>“</w:t>
      </w:r>
      <w:r>
        <w:rPr>
          <w:w w:val="95"/>
          <w:sz w:val="32"/>
        </w:rPr>
        <w:t>上 </w:t>
      </w:r>
      <w:r>
        <w:rPr>
          <w:sz w:val="32"/>
        </w:rPr>
        <w:t>云上平台</w:t>
      </w:r>
      <w:r>
        <w:rPr>
          <w:rFonts w:ascii="Times New Roman" w:hAnsi="Times New Roman" w:eastAsia="Times New Roman"/>
          <w:sz w:val="32"/>
        </w:rPr>
        <w:t>”</w:t>
      </w:r>
      <w:r>
        <w:rPr>
          <w:sz w:val="32"/>
        </w:rPr>
        <w:t>应用产品目录及工作指南，指导和监督工作开展。</w:t>
      </w:r>
    </w:p>
    <w:p>
      <w:pPr>
        <w:pStyle w:val="ListParagraph"/>
        <w:numPr>
          <w:ilvl w:val="0"/>
          <w:numId w:val="3"/>
        </w:numPr>
        <w:tabs>
          <w:tab w:pos="1402" w:val="left" w:leader="none"/>
        </w:tabs>
        <w:spacing w:line="328" w:lineRule="auto" w:before="0" w:after="0"/>
        <w:ind w:left="508" w:right="542" w:firstLine="640"/>
        <w:jc w:val="both"/>
        <w:rPr>
          <w:sz w:val="32"/>
        </w:rPr>
      </w:pPr>
      <w:r>
        <w:rPr>
          <w:spacing w:val="11"/>
          <w:w w:val="95"/>
          <w:sz w:val="32"/>
        </w:rPr>
        <w:t>省工业和信息化厅及各地市工业和信息化主管部门通过   </w:t>
      </w:r>
      <w:r>
        <w:rPr>
          <w:rFonts w:ascii="Times New Roman" w:hAnsi="Times New Roman" w:eastAsia="Times New Roman"/>
          <w:spacing w:val="11"/>
          <w:sz w:val="32"/>
        </w:rPr>
        <w:t>“</w:t>
      </w:r>
      <w:r>
        <w:rPr>
          <w:spacing w:val="7"/>
          <w:sz w:val="32"/>
        </w:rPr>
        <w:t>广东省工业互联网应用服务平台</w:t>
      </w:r>
      <w:r>
        <w:rPr>
          <w:sz w:val="32"/>
        </w:rPr>
        <w:t>（以下简称服务平台</w:t>
      </w:r>
      <w:r>
        <w:rPr>
          <w:spacing w:val="-20"/>
          <w:sz w:val="32"/>
        </w:rPr>
        <w:t>）</w:t>
      </w:r>
      <w:r>
        <w:rPr>
          <w:rFonts w:ascii="Times New Roman" w:hAnsi="Times New Roman" w:eastAsia="Times New Roman"/>
          <w:spacing w:val="-20"/>
          <w:sz w:val="32"/>
        </w:rPr>
        <w:t>”</w:t>
      </w:r>
      <w:r>
        <w:rPr>
          <w:sz w:val="32"/>
        </w:rPr>
        <w:t>管理和监督服务券的发放、使用、兑现全过程。</w:t>
      </w:r>
    </w:p>
    <w:p>
      <w:pPr>
        <w:pStyle w:val="BodyText"/>
        <w:spacing w:line="405" w:lineRule="exact"/>
        <w:ind w:left="1149"/>
      </w:pPr>
      <w:r>
        <w:rPr/>
        <w:t>（二）供应商注册</w:t>
      </w:r>
    </w:p>
    <w:p>
      <w:pPr>
        <w:pStyle w:val="ListParagraph"/>
        <w:numPr>
          <w:ilvl w:val="0"/>
          <w:numId w:val="3"/>
        </w:numPr>
        <w:tabs>
          <w:tab w:pos="1402" w:val="left" w:leader="none"/>
        </w:tabs>
        <w:spacing w:line="240" w:lineRule="auto" w:before="144" w:after="0"/>
        <w:ind w:left="1401" w:right="0" w:hanging="253"/>
        <w:jc w:val="left"/>
        <w:rPr>
          <w:rFonts w:ascii="Times New Roman" w:hAnsi="Times New Roman" w:eastAsia="Times New Roman"/>
          <w:sz w:val="32"/>
        </w:rPr>
      </w:pPr>
      <w:r>
        <w:rPr>
          <w:spacing w:val="13"/>
          <w:sz w:val="32"/>
        </w:rPr>
        <w:t>供应商应满足</w:t>
      </w:r>
      <w:r>
        <w:rPr>
          <w:rFonts w:ascii="Times New Roman" w:hAnsi="Times New Roman" w:eastAsia="Times New Roman"/>
          <w:spacing w:val="12"/>
          <w:sz w:val="32"/>
        </w:rPr>
        <w:t>“</w:t>
      </w:r>
      <w:r>
        <w:rPr>
          <w:spacing w:val="12"/>
          <w:sz w:val="32"/>
        </w:rPr>
        <w:t>广东省工业互联网产业生态供给资源池</w:t>
      </w:r>
      <w:r>
        <w:rPr>
          <w:rFonts w:ascii="Times New Roman" w:hAnsi="Times New Roman" w:eastAsia="Times New Roman"/>
          <w:sz w:val="32"/>
        </w:rPr>
        <w:t>”</w:t>
      </w:r>
    </w:p>
    <w:p>
      <w:pPr>
        <w:pStyle w:val="BodyText"/>
        <w:spacing w:before="149"/>
        <w:ind w:left="508"/>
      </w:pPr>
      <w:r>
        <w:rPr/>
        <w:t>审核标准，在服务平台上注册并提交应用产品。其中：</w:t>
      </w:r>
    </w:p>
    <w:p>
      <w:pPr>
        <w:pStyle w:val="ListParagraph"/>
        <w:numPr>
          <w:ilvl w:val="0"/>
          <w:numId w:val="4"/>
        </w:numPr>
        <w:tabs>
          <w:tab w:pos="1957" w:val="left" w:leader="none"/>
        </w:tabs>
        <w:spacing w:line="328" w:lineRule="auto" w:before="149" w:after="0"/>
        <w:ind w:left="508" w:right="542" w:firstLine="640"/>
        <w:jc w:val="both"/>
        <w:rPr>
          <w:sz w:val="32"/>
        </w:rPr>
      </w:pPr>
      <w:r>
        <w:rPr>
          <w:sz w:val="32"/>
        </w:rPr>
        <w:t>应用产品代理商原则上不独立纳入资源池。由产品的</w:t>
      </w:r>
      <w:r>
        <w:rPr>
          <w:spacing w:val="-7"/>
          <w:sz w:val="32"/>
        </w:rPr>
        <w:t>知识产权所有方统一提供代理商名单。产品的知识产权所有方及</w:t>
      </w:r>
      <w:r>
        <w:rPr>
          <w:spacing w:val="-14"/>
          <w:sz w:val="32"/>
        </w:rPr>
        <w:t>其所有代理商共同占用同一服务券额度。产品的知识产权所有方对其所有代理商的行为负责。</w:t>
      </w:r>
    </w:p>
    <w:p>
      <w:pPr>
        <w:pStyle w:val="ListParagraph"/>
        <w:numPr>
          <w:ilvl w:val="0"/>
          <w:numId w:val="4"/>
        </w:numPr>
        <w:tabs>
          <w:tab w:pos="1957" w:val="left" w:leader="none"/>
        </w:tabs>
        <w:spacing w:line="326" w:lineRule="auto" w:before="0" w:after="0"/>
        <w:ind w:left="508" w:right="542" w:firstLine="640"/>
        <w:jc w:val="both"/>
        <w:rPr>
          <w:sz w:val="32"/>
        </w:rPr>
      </w:pPr>
      <w:r>
        <w:rPr>
          <w:sz w:val="32"/>
        </w:rPr>
        <w:t>总公司及子公司不重复纳入资源池，企业自主选择一</w:t>
      </w:r>
      <w:r>
        <w:rPr>
          <w:spacing w:val="-11"/>
          <w:sz w:val="32"/>
        </w:rPr>
        <w:t>个注册主体，其他主体按代理商对待。注册主体对所有相关公司的行为负责。</w:t>
      </w:r>
    </w:p>
    <w:p>
      <w:pPr>
        <w:spacing w:after="0" w:line="326" w:lineRule="auto"/>
        <w:jc w:val="both"/>
        <w:rPr>
          <w:sz w:val="32"/>
        </w:rPr>
        <w:sectPr>
          <w:pgSz w:w="11900" w:h="16840"/>
          <w:pgMar w:header="0" w:footer="1325" w:top="1600" w:bottom="1520" w:left="1080" w:right="920"/>
        </w:sectPr>
      </w:pPr>
    </w:p>
    <w:p>
      <w:pPr>
        <w:pStyle w:val="BodyText"/>
        <w:spacing w:before="5"/>
        <w:rPr>
          <w:sz w:val="20"/>
        </w:rPr>
      </w:pPr>
    </w:p>
    <w:p>
      <w:pPr>
        <w:pStyle w:val="ListParagraph"/>
        <w:numPr>
          <w:ilvl w:val="0"/>
          <w:numId w:val="4"/>
        </w:numPr>
        <w:tabs>
          <w:tab w:pos="1956" w:val="left" w:leader="none"/>
        </w:tabs>
        <w:spacing w:line="328" w:lineRule="auto" w:before="65" w:after="0"/>
        <w:ind w:left="508" w:right="542" w:firstLine="640"/>
        <w:jc w:val="both"/>
        <w:rPr>
          <w:sz w:val="32"/>
        </w:rPr>
      </w:pPr>
      <w:r>
        <w:rPr>
          <w:sz w:val="32"/>
        </w:rPr>
        <w:t>平台商及其合作伙伴，可各自独立注册、提交应用产</w:t>
      </w:r>
      <w:r>
        <w:rPr>
          <w:spacing w:val="9"/>
          <w:w w:val="95"/>
          <w:sz w:val="32"/>
        </w:rPr>
        <w:t>品。平台商必须通过</w:t>
      </w:r>
      <w:r>
        <w:rPr>
          <w:rFonts w:ascii="Times New Roman" w:hAnsi="Times New Roman" w:eastAsia="Times New Roman"/>
          <w:spacing w:val="9"/>
          <w:w w:val="95"/>
          <w:sz w:val="32"/>
        </w:rPr>
        <w:t>“</w:t>
      </w:r>
      <w:r>
        <w:rPr>
          <w:spacing w:val="9"/>
          <w:w w:val="95"/>
          <w:sz w:val="32"/>
        </w:rPr>
        <w:t>广东省工业互联网产业生态供给资源池</w:t>
      </w:r>
      <w:r>
        <w:rPr>
          <w:rFonts w:ascii="Times New Roman" w:hAnsi="Times New Roman" w:eastAsia="Times New Roman"/>
          <w:w w:val="95"/>
          <w:sz w:val="32"/>
        </w:rPr>
        <w:t>”  </w:t>
      </w:r>
      <w:r>
        <w:rPr>
          <w:w w:val="95"/>
          <w:sz w:val="32"/>
        </w:rPr>
        <w:t>中</w:t>
      </w:r>
      <w:r>
        <w:rPr>
          <w:rFonts w:ascii="Times New Roman" w:hAnsi="Times New Roman" w:eastAsia="Times New Roman"/>
          <w:w w:val="95"/>
          <w:sz w:val="32"/>
        </w:rPr>
        <w:t>“</w:t>
      </w:r>
      <w:r>
        <w:rPr>
          <w:w w:val="95"/>
          <w:sz w:val="32"/>
        </w:rPr>
        <w:t>平台服务能力</w:t>
      </w:r>
      <w:r>
        <w:rPr>
          <w:rFonts w:ascii="Times New Roman" w:hAnsi="Times New Roman" w:eastAsia="Times New Roman"/>
          <w:w w:val="95"/>
          <w:sz w:val="32"/>
        </w:rPr>
        <w:t>”</w:t>
      </w:r>
      <w:r>
        <w:rPr>
          <w:spacing w:val="-9"/>
          <w:w w:val="95"/>
          <w:sz w:val="32"/>
        </w:rPr>
        <w:t>的审核。合作伙伴独立作为供应商纳入资源池 </w:t>
      </w:r>
      <w:r>
        <w:rPr>
          <w:spacing w:val="-12"/>
          <w:sz w:val="32"/>
        </w:rPr>
        <w:t>的，其应用产品由合作伙伴提交审核，平台商在上架该产品时只</w:t>
      </w:r>
      <w:r>
        <w:rPr>
          <w:spacing w:val="-15"/>
          <w:w w:val="95"/>
          <w:sz w:val="32"/>
        </w:rPr>
        <w:t>需提供双方合作证明，双方各自占用独立的服务券额度；合作伙 </w:t>
      </w:r>
      <w:r>
        <w:rPr>
          <w:spacing w:val="-19"/>
          <w:w w:val="95"/>
          <w:sz w:val="32"/>
        </w:rPr>
        <w:t>伴不独立作为供应商纳入资源池的，其应用产品可由平台商代为 </w:t>
      </w:r>
      <w:r>
        <w:rPr>
          <w:spacing w:val="-15"/>
          <w:sz w:val="32"/>
        </w:rPr>
        <w:t>提交审核，同时提供双方合作证明，合作伙伴占用平台商服务券额度。</w:t>
      </w:r>
    </w:p>
    <w:p>
      <w:pPr>
        <w:pStyle w:val="ListParagraph"/>
        <w:numPr>
          <w:ilvl w:val="0"/>
          <w:numId w:val="4"/>
        </w:numPr>
        <w:tabs>
          <w:tab w:pos="1956" w:val="left" w:leader="none"/>
        </w:tabs>
        <w:spacing w:line="395" w:lineRule="exact" w:before="0" w:after="0"/>
        <w:ind w:left="1956" w:right="0" w:hanging="807"/>
        <w:jc w:val="left"/>
        <w:rPr>
          <w:sz w:val="32"/>
        </w:rPr>
      </w:pPr>
      <w:r>
        <w:rPr>
          <w:sz w:val="32"/>
        </w:rPr>
        <w:t>除以上情形外，任何一项应用产品只能由一家供应商</w:t>
      </w:r>
    </w:p>
    <w:p>
      <w:pPr>
        <w:pStyle w:val="BodyText"/>
        <w:spacing w:line="326" w:lineRule="auto" w:before="151"/>
        <w:ind w:left="508" w:right="547"/>
      </w:pPr>
      <w:r>
        <w:rPr>
          <w:spacing w:val="-12"/>
          <w:w w:val="95"/>
        </w:rPr>
        <w:t>提供。不允许已获得上云上平台服务资格的资源池供应商之间代 </w:t>
      </w:r>
      <w:r>
        <w:rPr>
          <w:spacing w:val="-12"/>
        </w:rPr>
        <w:t>理产品；不允许软件外包、实施服务外包等行为。</w:t>
      </w:r>
    </w:p>
    <w:p>
      <w:pPr>
        <w:pStyle w:val="ListParagraph"/>
        <w:numPr>
          <w:ilvl w:val="0"/>
          <w:numId w:val="3"/>
        </w:numPr>
        <w:tabs>
          <w:tab w:pos="1392" w:val="left" w:leader="none"/>
        </w:tabs>
        <w:spacing w:line="328" w:lineRule="auto" w:before="4" w:after="0"/>
        <w:ind w:left="508" w:right="509" w:firstLine="640"/>
        <w:jc w:val="left"/>
        <w:rPr>
          <w:sz w:val="32"/>
        </w:rPr>
      </w:pPr>
      <w:r>
        <w:rPr>
          <w:w w:val="95"/>
          <w:sz w:val="32"/>
        </w:rPr>
        <w:t>供应商基本信息由所在地市工业和信息化主管部门审核。 </w:t>
      </w:r>
      <w:r>
        <w:rPr>
          <w:sz w:val="32"/>
        </w:rPr>
        <w:t>应用产品由省工业和信息化厅统一组织专家审核。</w:t>
      </w:r>
    </w:p>
    <w:p>
      <w:pPr>
        <w:pStyle w:val="ListParagraph"/>
        <w:numPr>
          <w:ilvl w:val="0"/>
          <w:numId w:val="3"/>
        </w:numPr>
        <w:tabs>
          <w:tab w:pos="1402" w:val="left" w:leader="none"/>
        </w:tabs>
        <w:spacing w:line="328" w:lineRule="auto" w:before="0" w:after="0"/>
        <w:ind w:left="508" w:right="543" w:firstLine="640"/>
        <w:jc w:val="both"/>
        <w:rPr>
          <w:sz w:val="32"/>
        </w:rPr>
      </w:pPr>
      <w:r>
        <w:rPr>
          <w:spacing w:val="12"/>
          <w:w w:val="95"/>
          <w:sz w:val="32"/>
        </w:rPr>
        <w:t>支持省外优秀供应商参与广东工业企业</w:t>
      </w:r>
      <w:r>
        <w:rPr>
          <w:rFonts w:ascii="Times New Roman" w:hAnsi="Times New Roman" w:eastAsia="Times New Roman"/>
          <w:spacing w:val="14"/>
          <w:w w:val="95"/>
          <w:sz w:val="32"/>
        </w:rPr>
        <w:t>“</w:t>
      </w:r>
      <w:r>
        <w:rPr>
          <w:spacing w:val="13"/>
          <w:w w:val="95"/>
          <w:sz w:val="32"/>
        </w:rPr>
        <w:t>上云上平台</w:t>
      </w:r>
      <w:r>
        <w:rPr>
          <w:rFonts w:ascii="Times New Roman" w:hAnsi="Times New Roman" w:eastAsia="Times New Roman"/>
          <w:spacing w:val="12"/>
          <w:w w:val="95"/>
          <w:sz w:val="32"/>
        </w:rPr>
        <w:t>”</w:t>
      </w:r>
      <w:r>
        <w:rPr>
          <w:w w:val="95"/>
          <w:sz w:val="32"/>
        </w:rPr>
        <w:t>工 </w:t>
      </w:r>
      <w:r>
        <w:rPr>
          <w:spacing w:val="-12"/>
          <w:w w:val="95"/>
          <w:sz w:val="32"/>
        </w:rPr>
        <w:t>作。省外供应商基本信息及应用产品均由省工业和信息化厅组织 </w:t>
      </w:r>
      <w:r>
        <w:rPr>
          <w:spacing w:val="-12"/>
          <w:sz w:val="32"/>
        </w:rPr>
        <w:t>审核。</w:t>
      </w:r>
    </w:p>
    <w:p>
      <w:pPr>
        <w:pStyle w:val="BodyText"/>
        <w:spacing w:line="405" w:lineRule="exact"/>
        <w:ind w:left="1149"/>
      </w:pPr>
      <w:r>
        <w:rPr/>
        <w:t>（三）服务券申领</w:t>
      </w:r>
    </w:p>
    <w:p>
      <w:pPr>
        <w:pStyle w:val="ListParagraph"/>
        <w:numPr>
          <w:ilvl w:val="0"/>
          <w:numId w:val="3"/>
        </w:numPr>
        <w:tabs>
          <w:tab w:pos="1392" w:val="left" w:leader="none"/>
        </w:tabs>
        <w:spacing w:line="328" w:lineRule="auto" w:before="146" w:after="0"/>
        <w:ind w:left="508" w:right="545" w:firstLine="640"/>
        <w:jc w:val="left"/>
        <w:rPr>
          <w:sz w:val="32"/>
        </w:rPr>
      </w:pPr>
      <w:r>
        <w:rPr>
          <w:spacing w:val="-3"/>
          <w:w w:val="95"/>
          <w:sz w:val="32"/>
        </w:rPr>
        <w:t>申领服务券的工业企业，应先与供应商签订合同，凭合同 </w:t>
      </w:r>
      <w:r>
        <w:rPr>
          <w:spacing w:val="-3"/>
          <w:sz w:val="32"/>
        </w:rPr>
        <w:t>申领服务券。</w:t>
      </w:r>
    </w:p>
    <w:p>
      <w:pPr>
        <w:pStyle w:val="BodyText"/>
        <w:spacing w:line="326" w:lineRule="auto"/>
        <w:ind w:left="508" w:right="547" w:firstLine="640"/>
      </w:pPr>
      <w:r>
        <w:rPr>
          <w:spacing w:val="-11"/>
          <w:w w:val="95"/>
        </w:rPr>
        <w:t>本方案所指的工业企业，包括生产制造企业及工业设备集成 </w:t>
      </w:r>
      <w:r>
        <w:rPr>
          <w:spacing w:val="-11"/>
        </w:rPr>
        <w:t>运维企业，其中：</w:t>
      </w:r>
    </w:p>
    <w:p>
      <w:pPr>
        <w:pStyle w:val="BodyText"/>
        <w:spacing w:line="326" w:lineRule="auto" w:before="3"/>
        <w:ind w:left="508" w:right="545" w:firstLine="640"/>
        <w:jc w:val="both"/>
      </w:pPr>
      <w:r>
        <w:rPr>
          <w:rFonts w:ascii="Times New Roman" w:hAnsi="Times New Roman" w:eastAsia="Times New Roman"/>
          <w:w w:val="95"/>
        </w:rPr>
        <w:t>——</w:t>
      </w:r>
      <w:r>
        <w:rPr>
          <w:spacing w:val="-9"/>
          <w:w w:val="95"/>
        </w:rPr>
        <w:t>生产制造企业指具有制造、生产、加工环节的企业，一 </w:t>
      </w:r>
      <w:r>
        <w:rPr>
          <w:spacing w:val="-14"/>
          <w:w w:val="95"/>
        </w:rPr>
        <w:t>般应在营业执照经营范围内包含相关表述、或符合《国民经济行 </w:t>
      </w:r>
      <w:r>
        <w:rPr>
          <w:spacing w:val="-14"/>
        </w:rPr>
        <w:t>业分类》中</w:t>
      </w:r>
      <w:r>
        <w:rPr>
          <w:rFonts w:ascii="Times New Roman" w:hAnsi="Times New Roman" w:eastAsia="Times New Roman"/>
          <w:spacing w:val="-14"/>
        </w:rPr>
        <w:t>“C </w:t>
      </w:r>
      <w:r>
        <w:rPr/>
        <w:t>制造业</w:t>
      </w:r>
      <w:r>
        <w:rPr>
          <w:rFonts w:ascii="Times New Roman" w:hAnsi="Times New Roman" w:eastAsia="Times New Roman"/>
          <w:spacing w:val="-3"/>
        </w:rPr>
        <w:t>”</w:t>
      </w:r>
      <w:r>
        <w:rPr/>
        <w:t>分类。</w:t>
      </w:r>
    </w:p>
    <w:p>
      <w:pPr>
        <w:spacing w:after="0" w:line="326" w:lineRule="auto"/>
        <w:jc w:val="both"/>
        <w:sectPr>
          <w:pgSz w:w="11900" w:h="16840"/>
          <w:pgMar w:header="0" w:footer="1325" w:top="1600" w:bottom="1520" w:left="1080" w:right="920"/>
        </w:sectPr>
      </w:pPr>
    </w:p>
    <w:p>
      <w:pPr>
        <w:pStyle w:val="BodyText"/>
        <w:spacing w:before="5"/>
        <w:rPr>
          <w:sz w:val="20"/>
        </w:rPr>
      </w:pPr>
    </w:p>
    <w:p>
      <w:pPr>
        <w:pStyle w:val="BodyText"/>
        <w:spacing w:line="328" w:lineRule="auto" w:before="65"/>
        <w:ind w:left="508" w:right="545" w:firstLine="640"/>
        <w:jc w:val="both"/>
      </w:pPr>
      <w:r>
        <w:rPr>
          <w:rFonts w:ascii="Times New Roman" w:hAnsi="Times New Roman" w:eastAsia="Times New Roman"/>
          <w:w w:val="95"/>
        </w:rPr>
        <w:t>——</w:t>
      </w:r>
      <w:r>
        <w:rPr>
          <w:spacing w:val="-6"/>
          <w:w w:val="95"/>
        </w:rPr>
        <w:t>工业设备集成运维企业指为工业设备的安装集成、售后 </w:t>
      </w:r>
      <w:r>
        <w:rPr>
          <w:spacing w:val="-13"/>
          <w:w w:val="95"/>
        </w:rPr>
        <w:t>运维提供服务的企业，一般应在营业执照经营范围内包含相关表 </w:t>
      </w:r>
      <w:r>
        <w:rPr>
          <w:spacing w:val="-19"/>
        </w:rPr>
        <w:t>述、且具有设备品牌厂家的相关授权文件。该类企业仅可申请</w:t>
      </w:r>
      <w:r>
        <w:rPr>
          <w:rFonts w:ascii="Times New Roman" w:hAnsi="Times New Roman" w:eastAsia="Times New Roman"/>
        </w:rPr>
        <w:t>“</w:t>
      </w:r>
      <w:r>
        <w:rPr/>
        <w:t>设备后服务</w:t>
      </w:r>
      <w:r>
        <w:rPr>
          <w:rFonts w:ascii="Times New Roman" w:hAnsi="Times New Roman" w:eastAsia="Times New Roman"/>
        </w:rPr>
        <w:t>”</w:t>
      </w:r>
      <w:r>
        <w:rPr/>
        <w:t>类服务券。</w:t>
      </w:r>
    </w:p>
    <w:p>
      <w:pPr>
        <w:pStyle w:val="BodyText"/>
        <w:spacing w:line="402" w:lineRule="exact"/>
        <w:ind w:left="1149"/>
      </w:pPr>
      <w:r>
        <w:rPr/>
        <w:t>用于申请服务券的合同，应满足如下基本要求：</w:t>
      </w:r>
    </w:p>
    <w:p>
      <w:pPr>
        <w:pStyle w:val="BodyText"/>
        <w:spacing w:before="149"/>
        <w:ind w:left="1149"/>
        <w:rPr>
          <w:rFonts w:ascii="Times New Roman" w:hAnsi="Times New Roman" w:eastAsia="Times New Roman"/>
        </w:rPr>
      </w:pPr>
      <w:r>
        <w:rPr>
          <w:rFonts w:ascii="Times New Roman" w:hAnsi="Times New Roman" w:eastAsia="Times New Roman"/>
        </w:rPr>
        <w:t>——</w:t>
      </w:r>
      <w:r>
        <w:rPr/>
        <w:t>合同签订日期应在 </w:t>
      </w:r>
      <w:r>
        <w:rPr>
          <w:rFonts w:ascii="Times New Roman" w:hAnsi="Times New Roman" w:eastAsia="Times New Roman"/>
        </w:rPr>
        <w:t>2018 </w:t>
      </w:r>
      <w:r>
        <w:rPr/>
        <w:t>年 </w:t>
      </w:r>
      <w:r>
        <w:rPr>
          <w:rFonts w:ascii="Times New Roman" w:hAnsi="Times New Roman" w:eastAsia="Times New Roman"/>
        </w:rPr>
        <w:t>3 </w:t>
      </w:r>
      <w:r>
        <w:rPr/>
        <w:t>月 </w:t>
      </w:r>
      <w:r>
        <w:rPr>
          <w:rFonts w:ascii="Times New Roman" w:hAnsi="Times New Roman" w:eastAsia="Times New Roman"/>
        </w:rPr>
        <w:t>20 </w:t>
      </w:r>
      <w:r>
        <w:rPr/>
        <w:t>日（粤府〔</w:t>
      </w:r>
      <w:r>
        <w:rPr>
          <w:rFonts w:ascii="Times New Roman" w:hAnsi="Times New Roman" w:eastAsia="Times New Roman"/>
        </w:rPr>
        <w:t>2018</w:t>
      </w:r>
      <w:r>
        <w:rPr/>
        <w:t>〕</w:t>
      </w:r>
      <w:r>
        <w:rPr>
          <w:rFonts w:ascii="Times New Roman" w:hAnsi="Times New Roman" w:eastAsia="Times New Roman"/>
        </w:rPr>
        <w:t>23</w:t>
      </w:r>
    </w:p>
    <w:p>
      <w:pPr>
        <w:pStyle w:val="BodyText"/>
        <w:spacing w:before="152"/>
        <w:ind w:left="508"/>
      </w:pPr>
      <w:r>
        <w:rPr/>
        <w:t>号文发布日期）之后；</w:t>
      </w:r>
    </w:p>
    <w:p>
      <w:pPr>
        <w:pStyle w:val="BodyText"/>
        <w:spacing w:line="326" w:lineRule="auto" w:before="149"/>
        <w:ind w:left="508" w:right="547" w:firstLine="640"/>
      </w:pPr>
      <w:r>
        <w:rPr>
          <w:rFonts w:ascii="Times New Roman" w:hAnsi="Times New Roman" w:eastAsia="Times New Roman"/>
          <w:w w:val="95"/>
        </w:rPr>
        <w:t>——</w:t>
      </w:r>
      <w:r>
        <w:rPr>
          <w:spacing w:val="-7"/>
          <w:w w:val="95"/>
        </w:rPr>
        <w:t>合同中应明确企业购买的应用产品名称，且该名称应与 </w:t>
      </w:r>
      <w:r>
        <w:rPr>
          <w:spacing w:val="-7"/>
        </w:rPr>
        <w:t>供应商在服务平台上提交的名称相对应；</w:t>
      </w:r>
    </w:p>
    <w:p>
      <w:pPr>
        <w:pStyle w:val="BodyText"/>
        <w:spacing w:line="326" w:lineRule="auto" w:before="5"/>
        <w:ind w:left="508" w:right="547" w:firstLine="640"/>
      </w:pPr>
      <w:r>
        <w:rPr>
          <w:rFonts w:ascii="Times New Roman" w:hAnsi="Times New Roman" w:eastAsia="Times New Roman"/>
          <w:w w:val="95"/>
        </w:rPr>
        <w:t>——</w:t>
      </w:r>
      <w:r>
        <w:rPr>
          <w:spacing w:val="-7"/>
          <w:w w:val="95"/>
        </w:rPr>
        <w:t>合同中应明确交付企业使用的功能模块，且这些功能模 </w:t>
      </w:r>
      <w:r>
        <w:rPr>
          <w:spacing w:val="-7"/>
        </w:rPr>
        <w:t>块应包含在供应商在服务平台上提交的功能模块范围之内；</w:t>
      </w:r>
    </w:p>
    <w:p>
      <w:pPr>
        <w:pStyle w:val="BodyText"/>
        <w:spacing w:line="328" w:lineRule="auto" w:before="4"/>
        <w:ind w:left="508" w:right="545" w:firstLine="640"/>
      </w:pPr>
      <w:r>
        <w:rPr>
          <w:rFonts w:ascii="Times New Roman" w:hAnsi="Times New Roman" w:eastAsia="Times New Roman"/>
          <w:w w:val="95"/>
        </w:rPr>
        <w:t>——</w:t>
      </w:r>
      <w:r>
        <w:rPr>
          <w:spacing w:val="-9"/>
          <w:w w:val="95"/>
        </w:rPr>
        <w:t>合同中应明确费用明细，如硬件、软件、咨询或实施服 </w:t>
      </w:r>
      <w:r>
        <w:rPr>
          <w:spacing w:val="-9"/>
        </w:rPr>
        <w:t>务费用等；</w:t>
      </w:r>
    </w:p>
    <w:p>
      <w:pPr>
        <w:pStyle w:val="BodyText"/>
        <w:spacing w:line="328" w:lineRule="auto"/>
        <w:ind w:left="508" w:right="545" w:firstLine="640"/>
        <w:jc w:val="both"/>
      </w:pPr>
      <w:r>
        <w:rPr>
          <w:rFonts w:ascii="Times New Roman" w:hAnsi="Times New Roman" w:eastAsia="Times New Roman"/>
          <w:spacing w:val="4"/>
          <w:w w:val="95"/>
        </w:rPr>
        <w:t>——</w:t>
      </w:r>
      <w:r>
        <w:rPr>
          <w:spacing w:val="8"/>
          <w:w w:val="95"/>
        </w:rPr>
        <w:t>用于申领服务券的合同额，应为购买该应用产品的金 </w:t>
      </w:r>
      <w:r>
        <w:rPr>
          <w:spacing w:val="-11"/>
          <w:w w:val="95"/>
        </w:rPr>
        <w:t>额；如合同中包含与该服务券无关的内容，在平台上填写合同额 </w:t>
      </w:r>
      <w:r>
        <w:rPr>
          <w:spacing w:val="-12"/>
          <w:w w:val="95"/>
        </w:rPr>
        <w:t>时，应主动剔除无关内容所对应的金额；平台上填写的合同额可 </w:t>
      </w:r>
      <w:r>
        <w:rPr>
          <w:spacing w:val="-12"/>
        </w:rPr>
        <w:t>小于或等于合同原文中的合同总额；</w:t>
      </w:r>
    </w:p>
    <w:p>
      <w:pPr>
        <w:pStyle w:val="BodyText"/>
        <w:spacing w:line="328" w:lineRule="auto"/>
        <w:ind w:left="508" w:right="547" w:firstLine="640"/>
      </w:pPr>
      <w:r>
        <w:rPr>
          <w:rFonts w:ascii="Times New Roman" w:hAnsi="Times New Roman" w:eastAsia="Times New Roman"/>
          <w:w w:val="95"/>
        </w:rPr>
        <w:t>——</w:t>
      </w:r>
      <w:r>
        <w:rPr>
          <w:spacing w:val="-6"/>
          <w:w w:val="95"/>
        </w:rPr>
        <w:t>合同应按照合乎规范的商业合同的要求和格式签订，不 </w:t>
      </w:r>
      <w:r>
        <w:rPr>
          <w:spacing w:val="-6"/>
        </w:rPr>
        <w:t>得利用本政策制定特殊条款；</w:t>
      </w:r>
    </w:p>
    <w:p>
      <w:pPr>
        <w:pStyle w:val="BodyText"/>
        <w:spacing w:line="326" w:lineRule="auto"/>
        <w:ind w:left="508" w:right="547" w:firstLine="640"/>
      </w:pPr>
      <w:r>
        <w:rPr>
          <w:rFonts w:ascii="Times New Roman" w:hAnsi="Times New Roman" w:eastAsia="Times New Roman"/>
          <w:w w:val="95"/>
        </w:rPr>
        <w:t>——</w:t>
      </w:r>
      <w:r>
        <w:rPr>
          <w:spacing w:val="-9"/>
          <w:w w:val="95"/>
        </w:rPr>
        <w:t>对于本方案发布之前已经签订、但未体现上述内容的合 </w:t>
      </w:r>
      <w:r>
        <w:rPr>
          <w:spacing w:val="-9"/>
        </w:rPr>
        <w:t>同，可通过补签合同的方式对上述要求内容予以明确。</w:t>
      </w:r>
    </w:p>
    <w:p>
      <w:pPr>
        <w:pStyle w:val="ListParagraph"/>
        <w:numPr>
          <w:ilvl w:val="0"/>
          <w:numId w:val="3"/>
        </w:numPr>
        <w:tabs>
          <w:tab w:pos="1392" w:val="left" w:leader="none"/>
        </w:tabs>
        <w:spacing w:line="326" w:lineRule="auto" w:before="0" w:after="0"/>
        <w:ind w:left="508" w:right="545" w:firstLine="640"/>
        <w:jc w:val="left"/>
        <w:rPr>
          <w:sz w:val="32"/>
        </w:rPr>
      </w:pPr>
      <w:r>
        <w:rPr>
          <w:spacing w:val="-4"/>
          <w:w w:val="95"/>
          <w:sz w:val="32"/>
        </w:rPr>
        <w:t>在当期服务券发放周期内，每份合同仅能用于申领一张服</w:t>
      </w:r>
      <w:r>
        <w:rPr>
          <w:spacing w:val="2"/>
          <w:w w:val="99"/>
          <w:sz w:val="32"/>
        </w:rPr>
        <w:t>务</w:t>
      </w:r>
      <w:r>
        <w:rPr>
          <w:w w:val="99"/>
          <w:sz w:val="32"/>
        </w:rPr>
        <w:t>券（试点示范除外</w:t>
      </w:r>
      <w:r>
        <w:rPr>
          <w:spacing w:val="-159"/>
          <w:w w:val="99"/>
          <w:sz w:val="32"/>
        </w:rPr>
        <w:t>）</w:t>
      </w:r>
      <w:r>
        <w:rPr>
          <w:w w:val="99"/>
          <w:sz w:val="32"/>
        </w:rPr>
        <w:t>，每张服务券只能对应一项应用产品。</w:t>
      </w:r>
    </w:p>
    <w:p>
      <w:pPr>
        <w:pStyle w:val="ListParagraph"/>
        <w:numPr>
          <w:ilvl w:val="0"/>
          <w:numId w:val="3"/>
        </w:numPr>
        <w:tabs>
          <w:tab w:pos="1402" w:val="left" w:leader="none"/>
        </w:tabs>
        <w:spacing w:line="240" w:lineRule="auto" w:before="0" w:after="0"/>
        <w:ind w:left="1401" w:right="0" w:hanging="253"/>
        <w:jc w:val="left"/>
        <w:rPr>
          <w:sz w:val="32"/>
        </w:rPr>
      </w:pPr>
      <w:r>
        <w:rPr>
          <w:spacing w:val="11"/>
          <w:sz w:val="32"/>
        </w:rPr>
        <w:t>企业基本信息及服务券申请由所在地市工业和信息化主</w:t>
      </w:r>
    </w:p>
    <w:p>
      <w:pPr>
        <w:spacing w:after="0" w:line="240" w:lineRule="auto"/>
        <w:jc w:val="left"/>
        <w:rPr>
          <w:sz w:val="32"/>
        </w:rPr>
        <w:sectPr>
          <w:pgSz w:w="11900" w:h="16840"/>
          <w:pgMar w:header="0" w:footer="1325" w:top="1600" w:bottom="1520" w:left="1080" w:right="920"/>
        </w:sectPr>
      </w:pPr>
    </w:p>
    <w:p>
      <w:pPr>
        <w:pStyle w:val="BodyText"/>
        <w:spacing w:before="3"/>
        <w:rPr>
          <w:sz w:val="21"/>
        </w:rPr>
      </w:pPr>
    </w:p>
    <w:p>
      <w:pPr>
        <w:pStyle w:val="BodyText"/>
        <w:spacing w:before="54"/>
        <w:ind w:left="508"/>
      </w:pPr>
      <w:r>
        <w:rPr/>
        <w:t>管部门审核。审核通过后即视为获得服务券。</w:t>
      </w:r>
    </w:p>
    <w:p>
      <w:pPr>
        <w:pStyle w:val="BodyText"/>
        <w:spacing w:before="149"/>
        <w:ind w:left="1149"/>
      </w:pPr>
      <w:r>
        <w:rPr/>
        <w:t>（四）服务券兑现</w:t>
      </w:r>
    </w:p>
    <w:p>
      <w:pPr>
        <w:pStyle w:val="ListParagraph"/>
        <w:numPr>
          <w:ilvl w:val="0"/>
          <w:numId w:val="3"/>
        </w:numPr>
        <w:tabs>
          <w:tab w:pos="1392" w:val="left" w:leader="none"/>
        </w:tabs>
        <w:spacing w:line="328" w:lineRule="auto" w:before="149" w:after="0"/>
        <w:ind w:left="508" w:right="432" w:firstLine="640"/>
        <w:jc w:val="left"/>
        <w:rPr>
          <w:sz w:val="32"/>
        </w:rPr>
      </w:pPr>
      <w:r>
        <w:rPr>
          <w:spacing w:val="-4"/>
          <w:sz w:val="32"/>
        </w:rPr>
        <w:t>企业完成合同实施后，于规定日期内在服务平台上提出服</w:t>
      </w:r>
      <w:r>
        <w:rPr>
          <w:spacing w:val="-4"/>
          <w:w w:val="95"/>
          <w:sz w:val="32"/>
        </w:rPr>
        <w:t>务券兑现申请，并上传发票、支付凭证、验收报告等附件材料。 </w:t>
      </w:r>
      <w:r>
        <w:rPr>
          <w:spacing w:val="-4"/>
          <w:sz w:val="32"/>
        </w:rPr>
        <w:t>相关附件材料应符合如下基本要求：</w:t>
      </w:r>
    </w:p>
    <w:p>
      <w:pPr>
        <w:pStyle w:val="BodyText"/>
        <w:spacing w:line="328" w:lineRule="auto"/>
        <w:ind w:left="508" w:right="542" w:firstLine="640"/>
        <w:jc w:val="both"/>
      </w:pPr>
      <w:r>
        <w:rPr>
          <w:rFonts w:ascii="Times New Roman" w:hAnsi="Times New Roman" w:eastAsia="Times New Roman"/>
        </w:rPr>
        <w:t>——</w:t>
      </w:r>
      <w:r>
        <w:rPr>
          <w:spacing w:val="-9"/>
        </w:rPr>
        <w:t>申请兑现时，</w:t>
      </w:r>
      <w:r>
        <w:rPr>
          <w:rFonts w:ascii="Times New Roman" w:hAnsi="Times New Roman" w:eastAsia="Times New Roman"/>
          <w:spacing w:val="-54"/>
        </w:rPr>
        <w:t>A </w:t>
      </w:r>
      <w:r>
        <w:rPr/>
        <w:t>类应用合同实际支付金额不得低于合同</w:t>
      </w:r>
      <w:r>
        <w:rPr>
          <w:spacing w:val="2"/>
        </w:rPr>
        <w:t>金额的 </w:t>
      </w:r>
      <w:r>
        <w:rPr>
          <w:rFonts w:ascii="Times New Roman" w:hAnsi="Times New Roman" w:eastAsia="Times New Roman"/>
        </w:rPr>
        <w:t>90%</w:t>
      </w:r>
      <w:r>
        <w:rPr/>
        <w:t>，</w:t>
      </w:r>
      <w:r>
        <w:rPr>
          <w:rFonts w:ascii="Times New Roman" w:hAnsi="Times New Roman" w:eastAsia="Times New Roman"/>
        </w:rPr>
        <w:t>B </w:t>
      </w:r>
      <w:r>
        <w:rPr/>
        <w:t>类应用合同实际支付金额不得低于合同金额的</w:t>
      </w:r>
      <w:r>
        <w:rPr>
          <w:rFonts w:ascii="Times New Roman" w:hAnsi="Times New Roman" w:eastAsia="Times New Roman"/>
        </w:rPr>
        <w:t>70%</w:t>
      </w:r>
      <w:r>
        <w:rPr/>
        <w:t>。发票、支付凭证的金额应与实际支付金额相同。</w:t>
      </w:r>
    </w:p>
    <w:p>
      <w:pPr>
        <w:pStyle w:val="BodyText"/>
        <w:spacing w:line="328" w:lineRule="auto"/>
        <w:ind w:left="508" w:right="547" w:firstLine="640"/>
      </w:pPr>
      <w:r>
        <w:rPr>
          <w:rFonts w:ascii="Times New Roman" w:hAnsi="Times New Roman" w:eastAsia="Times New Roman"/>
          <w:w w:val="95"/>
        </w:rPr>
        <w:t>——</w:t>
      </w:r>
      <w:r>
        <w:rPr>
          <w:spacing w:val="-7"/>
          <w:w w:val="95"/>
        </w:rPr>
        <w:t>验收报告的项目应与合同内容相对应，对完成了哪些硬 </w:t>
      </w:r>
      <w:r>
        <w:rPr>
          <w:spacing w:val="-7"/>
        </w:rPr>
        <w:t>件</w:t>
      </w:r>
      <w:r>
        <w:rPr>
          <w:rFonts w:ascii="Times New Roman" w:hAnsi="Times New Roman" w:eastAsia="Times New Roman"/>
          <w:spacing w:val="-7"/>
        </w:rPr>
        <w:t>/</w:t>
      </w:r>
      <w:r>
        <w:rPr>
          <w:spacing w:val="-7"/>
        </w:rPr>
        <w:t>软件</w:t>
      </w:r>
      <w:r>
        <w:rPr>
          <w:rFonts w:ascii="Times New Roman" w:hAnsi="Times New Roman" w:eastAsia="Times New Roman"/>
          <w:spacing w:val="-3"/>
        </w:rPr>
        <w:t>/</w:t>
      </w:r>
      <w:r>
        <w:rPr/>
        <w:t>功能模块</w:t>
      </w:r>
      <w:r>
        <w:rPr>
          <w:rFonts w:ascii="Times New Roman" w:hAnsi="Times New Roman" w:eastAsia="Times New Roman"/>
        </w:rPr>
        <w:t>/</w:t>
      </w:r>
      <w:r>
        <w:rPr/>
        <w:t>服务的交付使用予以明确。</w:t>
      </w:r>
    </w:p>
    <w:p>
      <w:pPr>
        <w:pStyle w:val="ListParagraph"/>
        <w:numPr>
          <w:ilvl w:val="0"/>
          <w:numId w:val="3"/>
        </w:numPr>
        <w:tabs>
          <w:tab w:pos="1553" w:val="left" w:leader="none"/>
        </w:tabs>
        <w:spacing w:line="518" w:lineRule="exact" w:before="0" w:after="0"/>
        <w:ind w:left="1552" w:right="0" w:hanging="404"/>
        <w:jc w:val="left"/>
        <w:rPr>
          <w:sz w:val="32"/>
        </w:rPr>
      </w:pPr>
      <w:r>
        <w:rPr>
          <w:rFonts w:ascii="思源黑体 CN Bold" w:eastAsia="思源黑体 CN Bold" w:hint="eastAsia"/>
          <w:b/>
          <w:spacing w:val="4"/>
          <w:sz w:val="32"/>
        </w:rPr>
        <w:t>供应商审核确认企业的兑现申请</w:t>
      </w:r>
      <w:r>
        <w:rPr>
          <w:spacing w:val="3"/>
          <w:sz w:val="32"/>
        </w:rPr>
        <w:t>，并填报企业上云上平</w:t>
      </w:r>
    </w:p>
    <w:p>
      <w:pPr>
        <w:pStyle w:val="BodyText"/>
        <w:spacing w:before="28"/>
        <w:ind w:left="508"/>
      </w:pPr>
      <w:r>
        <w:rPr/>
        <w:t>台行为数据监测所需相关信息、提供数据接口等。</w:t>
      </w:r>
    </w:p>
    <w:p>
      <w:pPr>
        <w:pStyle w:val="ListParagraph"/>
        <w:numPr>
          <w:ilvl w:val="0"/>
          <w:numId w:val="3"/>
        </w:numPr>
        <w:tabs>
          <w:tab w:pos="1544" w:val="left" w:leader="none"/>
        </w:tabs>
        <w:spacing w:line="244" w:lineRule="auto" w:before="152" w:after="0"/>
        <w:ind w:left="508" w:right="427" w:firstLine="640"/>
        <w:jc w:val="left"/>
        <w:rPr>
          <w:sz w:val="32"/>
        </w:rPr>
      </w:pPr>
      <w:r>
        <w:rPr>
          <w:spacing w:val="3"/>
          <w:sz w:val="32"/>
        </w:rPr>
        <w:t>地市工业和信息化主管部门对企业服务券兑现申请予以</w:t>
      </w:r>
      <w:r>
        <w:rPr>
          <w:rFonts w:ascii="思源黑体 CN Bold" w:eastAsia="思源黑体 CN Bold" w:hint="eastAsia"/>
          <w:b/>
          <w:spacing w:val="3"/>
          <w:sz w:val="32"/>
        </w:rPr>
        <w:t>形式审核</w:t>
      </w:r>
      <w:r>
        <w:rPr>
          <w:spacing w:val="3"/>
          <w:sz w:val="32"/>
        </w:rPr>
        <w:t>，包括填报内容及发票、支付凭证、验收报告等附件。</w:t>
      </w:r>
    </w:p>
    <w:p>
      <w:pPr>
        <w:pStyle w:val="ListParagraph"/>
        <w:numPr>
          <w:ilvl w:val="0"/>
          <w:numId w:val="3"/>
        </w:numPr>
        <w:tabs>
          <w:tab w:pos="1556" w:val="left" w:leader="none"/>
        </w:tabs>
        <w:spacing w:line="220" w:lineRule="auto" w:before="49" w:after="0"/>
        <w:ind w:left="508" w:right="543" w:firstLine="640"/>
        <w:jc w:val="both"/>
        <w:rPr>
          <w:sz w:val="32"/>
        </w:rPr>
      </w:pPr>
      <w:r>
        <w:rPr>
          <w:spacing w:val="3"/>
          <w:w w:val="95"/>
          <w:sz w:val="32"/>
        </w:rPr>
        <w:t>服务平台对企业上云上平台的行为数据进行监测分析， </w:t>
      </w:r>
      <w:r>
        <w:rPr>
          <w:spacing w:val="9"/>
          <w:w w:val="95"/>
          <w:sz w:val="32"/>
        </w:rPr>
        <w:t>判定其</w:t>
      </w:r>
      <w:r>
        <w:rPr>
          <w:rFonts w:ascii="Times New Roman" w:hAnsi="Times New Roman" w:eastAsia="Times New Roman"/>
          <w:spacing w:val="9"/>
          <w:w w:val="95"/>
          <w:sz w:val="32"/>
        </w:rPr>
        <w:t>“</w:t>
      </w:r>
      <w:r>
        <w:rPr>
          <w:spacing w:val="9"/>
          <w:w w:val="95"/>
          <w:sz w:val="32"/>
        </w:rPr>
        <w:t>上云上平台</w:t>
      </w:r>
      <w:r>
        <w:rPr>
          <w:rFonts w:ascii="Times New Roman" w:hAnsi="Times New Roman" w:eastAsia="Times New Roman"/>
          <w:spacing w:val="7"/>
          <w:w w:val="95"/>
          <w:sz w:val="32"/>
        </w:rPr>
        <w:t>”</w:t>
      </w:r>
      <w:r>
        <w:rPr>
          <w:spacing w:val="9"/>
          <w:w w:val="95"/>
          <w:sz w:val="32"/>
        </w:rPr>
        <w:t>的完成情况，并在服务平台上显示</w:t>
      </w:r>
      <w:r>
        <w:rPr>
          <w:rFonts w:ascii="思源黑体 CN Bold" w:hAnsi="思源黑体 CN Bold" w:eastAsia="思源黑体 CN Bold" w:hint="eastAsia"/>
          <w:b/>
          <w:spacing w:val="8"/>
          <w:w w:val="95"/>
          <w:sz w:val="32"/>
        </w:rPr>
        <w:t>监测结  </w:t>
      </w:r>
      <w:r>
        <w:rPr>
          <w:rFonts w:ascii="思源黑体 CN Bold" w:hAnsi="思源黑体 CN Bold" w:eastAsia="思源黑体 CN Bold" w:hint="eastAsia"/>
          <w:b/>
          <w:spacing w:val="8"/>
          <w:sz w:val="32"/>
        </w:rPr>
        <w:t>果</w:t>
      </w:r>
      <w:r>
        <w:rPr>
          <w:spacing w:val="8"/>
          <w:sz w:val="32"/>
        </w:rPr>
        <w:t>。</w:t>
      </w:r>
    </w:p>
    <w:p>
      <w:pPr>
        <w:pStyle w:val="ListParagraph"/>
        <w:numPr>
          <w:ilvl w:val="0"/>
          <w:numId w:val="3"/>
        </w:numPr>
        <w:tabs>
          <w:tab w:pos="1556" w:val="left" w:leader="none"/>
        </w:tabs>
        <w:spacing w:line="577" w:lineRule="exact" w:before="0" w:after="0"/>
        <w:ind w:left="1555" w:right="0" w:hanging="407"/>
        <w:jc w:val="left"/>
        <w:rPr>
          <w:sz w:val="32"/>
        </w:rPr>
      </w:pPr>
      <w:r>
        <w:rPr>
          <w:spacing w:val="4"/>
          <w:sz w:val="32"/>
        </w:rPr>
        <w:t>地市工业和信息化主管部门依据</w:t>
      </w:r>
      <w:r>
        <w:rPr>
          <w:rFonts w:ascii="思源黑体 CN Bold" w:eastAsia="思源黑体 CN Bold" w:hint="eastAsia"/>
          <w:b/>
          <w:spacing w:val="7"/>
          <w:sz w:val="32"/>
        </w:rPr>
        <w:t>形式审核</w:t>
      </w:r>
      <w:r>
        <w:rPr>
          <w:spacing w:val="4"/>
          <w:sz w:val="32"/>
        </w:rPr>
        <w:t>和</w:t>
      </w:r>
      <w:r>
        <w:rPr>
          <w:rFonts w:ascii="思源黑体 CN Bold" w:eastAsia="思源黑体 CN Bold" w:hint="eastAsia"/>
          <w:b/>
          <w:spacing w:val="7"/>
          <w:sz w:val="32"/>
        </w:rPr>
        <w:t>监测结果</w:t>
      </w:r>
      <w:r>
        <w:rPr>
          <w:sz w:val="32"/>
        </w:rPr>
        <w:t>对</w:t>
      </w:r>
    </w:p>
    <w:p>
      <w:pPr>
        <w:pStyle w:val="BodyText"/>
        <w:spacing w:before="40"/>
        <w:ind w:left="508"/>
      </w:pPr>
      <w:r>
        <w:rPr/>
        <w:t>兑现申请给出审核意见，作为兑现依据。</w:t>
      </w:r>
    </w:p>
    <w:p>
      <w:pPr>
        <w:pStyle w:val="ListParagraph"/>
        <w:numPr>
          <w:ilvl w:val="0"/>
          <w:numId w:val="3"/>
        </w:numPr>
        <w:tabs>
          <w:tab w:pos="1556" w:val="left" w:leader="none"/>
        </w:tabs>
        <w:spacing w:line="328" w:lineRule="auto" w:before="150" w:after="0"/>
        <w:ind w:left="508" w:right="545" w:firstLine="640"/>
        <w:jc w:val="both"/>
        <w:rPr>
          <w:sz w:val="32"/>
        </w:rPr>
      </w:pPr>
      <w:r>
        <w:rPr>
          <w:spacing w:val="3"/>
          <w:w w:val="95"/>
          <w:sz w:val="32"/>
        </w:rPr>
        <w:t>地市工业和信息化主管部门汇总所有通过审核的服务券 </w:t>
      </w:r>
      <w:r>
        <w:rPr>
          <w:spacing w:val="-8"/>
          <w:w w:val="95"/>
          <w:sz w:val="32"/>
        </w:rPr>
        <w:t>形成兑现清单，在部门官方网站或服务平台上进行公示。清单内 </w:t>
      </w:r>
      <w:r>
        <w:rPr>
          <w:spacing w:val="-15"/>
          <w:w w:val="95"/>
          <w:sz w:val="32"/>
        </w:rPr>
        <w:t>容应包括工业企业名称、供应商名称、应用产品名称、服务券金 </w:t>
      </w:r>
      <w:r>
        <w:rPr>
          <w:spacing w:val="-13"/>
          <w:w w:val="95"/>
          <w:sz w:val="32"/>
        </w:rPr>
        <w:t>额等。公示无异议后，按程序统一兑付结算服务券，将财政奖补 </w:t>
      </w:r>
      <w:r>
        <w:rPr>
          <w:spacing w:val="-13"/>
          <w:sz w:val="32"/>
        </w:rPr>
        <w:t>发放给企业。</w:t>
      </w:r>
    </w:p>
    <w:p>
      <w:pPr>
        <w:spacing w:after="0" w:line="328" w:lineRule="auto"/>
        <w:jc w:val="both"/>
        <w:rPr>
          <w:sz w:val="32"/>
        </w:rPr>
        <w:sectPr>
          <w:pgSz w:w="11900" w:h="16840"/>
          <w:pgMar w:header="0" w:footer="1325" w:top="1600" w:bottom="1520" w:left="1080" w:right="920"/>
        </w:sectPr>
      </w:pPr>
    </w:p>
    <w:p>
      <w:pPr>
        <w:pStyle w:val="BodyText"/>
        <w:spacing w:before="3"/>
        <w:rPr>
          <w:sz w:val="21"/>
        </w:rPr>
      </w:pPr>
    </w:p>
    <w:p>
      <w:pPr>
        <w:pStyle w:val="BodyText"/>
        <w:spacing w:before="54"/>
        <w:ind w:left="1149"/>
      </w:pPr>
      <w:r>
        <w:rPr>
          <w:w w:val="95"/>
        </w:rPr>
        <w:t>（五）监督抽查</w:t>
      </w:r>
    </w:p>
    <w:p>
      <w:pPr>
        <w:pStyle w:val="ListParagraph"/>
        <w:numPr>
          <w:ilvl w:val="0"/>
          <w:numId w:val="3"/>
        </w:numPr>
        <w:tabs>
          <w:tab w:pos="1556" w:val="left" w:leader="none"/>
        </w:tabs>
        <w:spacing w:line="328" w:lineRule="auto" w:before="149" w:after="0"/>
        <w:ind w:left="508" w:right="545" w:firstLine="640"/>
        <w:jc w:val="both"/>
        <w:rPr>
          <w:sz w:val="32"/>
        </w:rPr>
      </w:pPr>
      <w:r>
        <w:rPr>
          <w:spacing w:val="3"/>
          <w:w w:val="95"/>
          <w:sz w:val="32"/>
        </w:rPr>
        <w:t>省工业和信息化厅及地市工业和信息化主管部门可对申 </w:t>
      </w:r>
      <w:r>
        <w:rPr>
          <w:spacing w:val="-2"/>
          <w:w w:val="95"/>
          <w:sz w:val="32"/>
        </w:rPr>
        <w:t>领服务券的工业企业进行现场抽查，通过其</w:t>
      </w:r>
      <w:r>
        <w:rPr>
          <w:rFonts w:ascii="Times New Roman" w:hAnsi="Times New Roman" w:eastAsia="Times New Roman"/>
          <w:w w:val="95"/>
          <w:sz w:val="32"/>
        </w:rPr>
        <w:t>“</w:t>
      </w:r>
      <w:r>
        <w:rPr>
          <w:w w:val="95"/>
          <w:sz w:val="32"/>
        </w:rPr>
        <w:t>上云上平台</w:t>
      </w:r>
      <w:r>
        <w:rPr>
          <w:rFonts w:ascii="Times New Roman" w:hAnsi="Times New Roman" w:eastAsia="Times New Roman"/>
          <w:w w:val="95"/>
          <w:sz w:val="32"/>
        </w:rPr>
        <w:t>”</w:t>
      </w:r>
      <w:r>
        <w:rPr>
          <w:w w:val="95"/>
          <w:sz w:val="32"/>
        </w:rPr>
        <w:t>完成情 </w:t>
      </w:r>
      <w:r>
        <w:rPr>
          <w:spacing w:val="-11"/>
          <w:w w:val="95"/>
          <w:sz w:val="32"/>
        </w:rPr>
        <w:t>况及效果，对供应商的产品、服务情况进行评价，建立供应商信 </w:t>
      </w:r>
      <w:r>
        <w:rPr>
          <w:spacing w:val="-13"/>
          <w:w w:val="95"/>
          <w:sz w:val="32"/>
        </w:rPr>
        <w:t>用记录，为后续服务券额度发放、监督抽查频次等提供依据。对 </w:t>
      </w:r>
      <w:r>
        <w:rPr>
          <w:spacing w:val="-18"/>
          <w:w w:val="95"/>
          <w:sz w:val="32"/>
        </w:rPr>
        <w:t>于现场抽查认定存在骗补行为的供应商及企业，取消其服务券兑 </w:t>
      </w:r>
      <w:r>
        <w:rPr>
          <w:spacing w:val="-18"/>
          <w:sz w:val="32"/>
        </w:rPr>
        <w:t>现资格及资源池企业资格。</w:t>
      </w:r>
    </w:p>
    <w:p>
      <w:pPr>
        <w:pStyle w:val="ListParagraph"/>
        <w:numPr>
          <w:ilvl w:val="0"/>
          <w:numId w:val="3"/>
        </w:numPr>
        <w:tabs>
          <w:tab w:pos="1556" w:val="left" w:leader="none"/>
        </w:tabs>
        <w:spacing w:line="328" w:lineRule="auto" w:before="0" w:after="0"/>
        <w:ind w:left="508" w:right="545" w:firstLine="640"/>
        <w:jc w:val="both"/>
        <w:rPr>
          <w:sz w:val="32"/>
        </w:rPr>
      </w:pPr>
      <w:r>
        <w:rPr>
          <w:spacing w:val="3"/>
          <w:w w:val="95"/>
          <w:sz w:val="32"/>
        </w:rPr>
        <w:t>省工业和信息化厅根据服务平台数据及现场抽查情况， </w:t>
      </w:r>
      <w:r>
        <w:rPr>
          <w:spacing w:val="-6"/>
          <w:w w:val="95"/>
          <w:sz w:val="32"/>
        </w:rPr>
        <w:t>对供应商予以信用评价，对补贴标准进行修订，对下个周期服务 </w:t>
      </w:r>
      <w:r>
        <w:rPr>
          <w:spacing w:val="-6"/>
          <w:sz w:val="32"/>
        </w:rPr>
        <w:t>券分配额度予以调整。</w:t>
      </w:r>
    </w:p>
    <w:p>
      <w:pPr>
        <w:pStyle w:val="BodyText"/>
        <w:spacing w:line="405" w:lineRule="exact"/>
        <w:ind w:left="1149"/>
      </w:pPr>
      <w:r>
        <w:rPr/>
        <w:t>（六）产业集群试点示范</w:t>
      </w:r>
    </w:p>
    <w:p>
      <w:pPr>
        <w:pStyle w:val="ListParagraph"/>
        <w:numPr>
          <w:ilvl w:val="0"/>
          <w:numId w:val="3"/>
        </w:numPr>
        <w:tabs>
          <w:tab w:pos="1556" w:val="left" w:leader="none"/>
        </w:tabs>
        <w:spacing w:line="328" w:lineRule="auto" w:before="139" w:after="0"/>
        <w:ind w:left="508" w:right="545" w:firstLine="640"/>
        <w:jc w:val="both"/>
        <w:rPr>
          <w:sz w:val="32"/>
        </w:rPr>
      </w:pPr>
      <w:r>
        <w:rPr>
          <w:spacing w:val="3"/>
          <w:w w:val="95"/>
          <w:sz w:val="32"/>
        </w:rPr>
        <w:t>产业集群工业互联数字化转型试点示范旨在上云上平台 </w:t>
      </w:r>
      <w:r>
        <w:rPr>
          <w:spacing w:val="6"/>
          <w:w w:val="95"/>
          <w:sz w:val="32"/>
        </w:rPr>
        <w:t>服务券普惠性政策的基础上，基于垂直领域产业整体升级的目 </w:t>
      </w:r>
      <w:r>
        <w:rPr>
          <w:spacing w:val="-11"/>
          <w:w w:val="95"/>
          <w:sz w:val="32"/>
        </w:rPr>
        <w:t>标，深入开展特定集群调研、开发集成整体解决方案、探索产业 </w:t>
      </w:r>
      <w:r>
        <w:rPr>
          <w:spacing w:val="-14"/>
          <w:w w:val="95"/>
          <w:sz w:val="32"/>
        </w:rPr>
        <w:t>链协同新路径，具体要求见《广东省工业和信息化厅关于开展产 </w:t>
      </w:r>
      <w:r>
        <w:rPr>
          <w:spacing w:val="-22"/>
          <w:sz w:val="32"/>
        </w:rPr>
        <w:t>业集群工业互联数字化转型试点工作的通知》</w:t>
      </w:r>
      <w:r>
        <w:rPr>
          <w:spacing w:val="4"/>
          <w:sz w:val="32"/>
        </w:rPr>
        <w:t>（</w:t>
      </w:r>
      <w:r>
        <w:rPr>
          <w:sz w:val="32"/>
        </w:rPr>
        <w:t>粤工信工业互联网函〔</w:t>
      </w:r>
      <w:r>
        <w:rPr>
          <w:rFonts w:ascii="Times New Roman" w:eastAsia="Times New Roman"/>
          <w:sz w:val="32"/>
        </w:rPr>
        <w:t>2019</w:t>
      </w:r>
      <w:r>
        <w:rPr>
          <w:sz w:val="32"/>
        </w:rPr>
        <w:t>〕</w:t>
      </w:r>
      <w:r>
        <w:rPr>
          <w:rFonts w:ascii="Times New Roman" w:eastAsia="Times New Roman"/>
          <w:sz w:val="32"/>
        </w:rPr>
        <w:t>1383</w:t>
      </w:r>
      <w:r>
        <w:rPr>
          <w:rFonts w:ascii="Times New Roman" w:eastAsia="Times New Roman"/>
          <w:spacing w:val="-1"/>
          <w:sz w:val="32"/>
        </w:rPr>
        <w:t> </w:t>
      </w:r>
      <w:r>
        <w:rPr>
          <w:sz w:val="32"/>
        </w:rPr>
        <w:t>号</w:t>
      </w:r>
      <w:r>
        <w:rPr>
          <w:spacing w:val="-161"/>
          <w:sz w:val="32"/>
        </w:rPr>
        <w:t>）</w:t>
      </w:r>
      <w:r>
        <w:rPr>
          <w:sz w:val="32"/>
        </w:rPr>
        <w:t>。</w:t>
      </w:r>
    </w:p>
    <w:p>
      <w:pPr>
        <w:pStyle w:val="ListParagraph"/>
        <w:numPr>
          <w:ilvl w:val="0"/>
          <w:numId w:val="3"/>
        </w:numPr>
        <w:tabs>
          <w:tab w:pos="1709" w:val="left" w:leader="none"/>
        </w:tabs>
        <w:spacing w:line="511" w:lineRule="exact" w:before="0" w:after="0"/>
        <w:ind w:left="1708" w:right="0" w:hanging="560"/>
        <w:jc w:val="left"/>
        <w:rPr>
          <w:sz w:val="32"/>
        </w:rPr>
      </w:pPr>
      <w:r>
        <w:rPr>
          <w:sz w:val="32"/>
        </w:rPr>
        <w:t>集群试点示范按照</w:t>
      </w:r>
      <w:r>
        <w:rPr>
          <w:rFonts w:ascii="Times New Roman" w:hAnsi="Times New Roman" w:eastAsia="Times New Roman"/>
          <w:b/>
          <w:sz w:val="32"/>
        </w:rPr>
        <w:t>“</w:t>
      </w:r>
      <w:r>
        <w:rPr>
          <w:rFonts w:ascii="思源黑体 CN Bold" w:hAnsi="思源黑体 CN Bold" w:eastAsia="思源黑体 CN Bold" w:hint="eastAsia"/>
          <w:b/>
          <w:spacing w:val="-7"/>
          <w:sz w:val="32"/>
        </w:rPr>
        <w:t>成熟一个、论证一个、试点一个</w:t>
      </w:r>
      <w:r>
        <w:rPr>
          <w:rFonts w:ascii="Times New Roman" w:hAnsi="Times New Roman" w:eastAsia="Times New Roman"/>
          <w:b/>
          <w:sz w:val="32"/>
        </w:rPr>
        <w:t>”</w:t>
      </w:r>
      <w:r>
        <w:rPr>
          <w:sz w:val="32"/>
        </w:rPr>
        <w:t>有</w:t>
      </w:r>
    </w:p>
    <w:p>
      <w:pPr>
        <w:pStyle w:val="BodyText"/>
        <w:spacing w:line="249" w:lineRule="auto" w:before="41"/>
        <w:ind w:left="508" w:right="547"/>
        <w:jc w:val="both"/>
      </w:pPr>
      <w:r>
        <w:rPr>
          <w:spacing w:val="-11"/>
          <w:w w:val="95"/>
        </w:rPr>
        <w:t>序组织实施，重点支持制造业垂直领域分析透彻、企业协同机制 </w:t>
      </w:r>
      <w:r>
        <w:rPr>
          <w:spacing w:val="-11"/>
        </w:rPr>
        <w:t>创新落地、切入路径精准持续的</w:t>
      </w:r>
      <w:r>
        <w:rPr>
          <w:rFonts w:ascii="思源黑体 CN Bold" w:eastAsia="思源黑体 CN Bold" w:hint="eastAsia"/>
          <w:b/>
        </w:rPr>
        <w:t>商业计划书方案</w:t>
      </w:r>
      <w:r>
        <w:rPr>
          <w:spacing w:val="-9"/>
        </w:rPr>
        <w:t>，不鼓励服务商同时申报多个集群试点（含牵头和参与申报</w:t>
      </w:r>
      <w:r>
        <w:rPr>
          <w:spacing w:val="-159"/>
        </w:rPr>
        <w:t>）</w:t>
      </w:r>
      <w:r>
        <w:rPr/>
        <w:t>。</w:t>
      </w:r>
    </w:p>
    <w:p>
      <w:pPr>
        <w:pStyle w:val="ListParagraph"/>
        <w:numPr>
          <w:ilvl w:val="0"/>
          <w:numId w:val="3"/>
        </w:numPr>
        <w:tabs>
          <w:tab w:pos="1556" w:val="left" w:leader="none"/>
        </w:tabs>
        <w:spacing w:line="326" w:lineRule="auto" w:before="137" w:after="0"/>
        <w:ind w:left="508" w:right="545" w:firstLine="640"/>
        <w:jc w:val="both"/>
        <w:rPr>
          <w:sz w:val="32"/>
        </w:rPr>
      </w:pPr>
      <w:r>
        <w:rPr>
          <w:spacing w:val="3"/>
          <w:w w:val="95"/>
          <w:sz w:val="32"/>
        </w:rPr>
        <w:t>参与集群试点示范的供应商，根据试点方案论证结果， </w:t>
      </w:r>
      <w:r>
        <w:rPr>
          <w:spacing w:val="1"/>
          <w:sz w:val="32"/>
        </w:rPr>
        <w:t>可纳入</w:t>
      </w:r>
      <w:r>
        <w:rPr>
          <w:rFonts w:ascii="Times New Roman" w:hAnsi="Times New Roman" w:eastAsia="Times New Roman"/>
          <w:sz w:val="32"/>
        </w:rPr>
        <w:t>“</w:t>
      </w:r>
      <w:r>
        <w:rPr>
          <w:sz w:val="32"/>
        </w:rPr>
        <w:t>广东省工业互联网产业生态供给资源池暨上云上平台供</w:t>
      </w:r>
      <w:r>
        <w:rPr>
          <w:spacing w:val="10"/>
          <w:w w:val="95"/>
          <w:sz w:val="32"/>
        </w:rPr>
        <w:t>应商</w:t>
      </w:r>
      <w:r>
        <w:rPr>
          <w:rFonts w:ascii="Times New Roman" w:hAnsi="Times New Roman" w:eastAsia="Times New Roman"/>
          <w:spacing w:val="8"/>
          <w:w w:val="95"/>
          <w:sz w:val="32"/>
        </w:rPr>
        <w:t>”</w:t>
      </w:r>
      <w:r>
        <w:rPr>
          <w:spacing w:val="8"/>
          <w:w w:val="95"/>
          <w:sz w:val="32"/>
        </w:rPr>
        <w:t>；其产品可纳入</w:t>
      </w:r>
      <w:r>
        <w:rPr>
          <w:rFonts w:ascii="Times New Roman" w:hAnsi="Times New Roman" w:eastAsia="Times New Roman"/>
          <w:spacing w:val="9"/>
          <w:w w:val="95"/>
          <w:sz w:val="32"/>
        </w:rPr>
        <w:t>“</w:t>
      </w:r>
      <w:r>
        <w:rPr>
          <w:spacing w:val="8"/>
          <w:w w:val="95"/>
          <w:sz w:val="32"/>
        </w:rPr>
        <w:t>广东省工业企业上云上平台应用产品目</w:t>
      </w:r>
    </w:p>
    <w:p>
      <w:pPr>
        <w:spacing w:after="0" w:line="326" w:lineRule="auto"/>
        <w:jc w:val="both"/>
        <w:rPr>
          <w:sz w:val="32"/>
        </w:rPr>
        <w:sectPr>
          <w:footerReference w:type="even" r:id="rId21"/>
          <w:footerReference w:type="default" r:id="rId22"/>
          <w:pgSz w:w="11900" w:h="16840"/>
          <w:pgMar w:footer="1325" w:header="0" w:top="1600" w:bottom="1520" w:left="1080" w:right="920"/>
          <w:pgNumType w:start="10"/>
        </w:sectPr>
      </w:pPr>
    </w:p>
    <w:p>
      <w:pPr>
        <w:pStyle w:val="BodyText"/>
        <w:spacing w:before="3"/>
        <w:rPr>
          <w:sz w:val="21"/>
        </w:rPr>
      </w:pPr>
    </w:p>
    <w:p>
      <w:pPr>
        <w:pStyle w:val="BodyText"/>
        <w:spacing w:line="328" w:lineRule="auto" w:before="54"/>
        <w:ind w:left="508" w:right="384"/>
      </w:pPr>
      <w:r>
        <w:rPr>
          <w:spacing w:val="-19"/>
          <w:w w:val="95"/>
        </w:rPr>
        <w:t>录，包括订单集散、产能共享、集中采购、集中运维、透明物流、 </w:t>
      </w:r>
      <w:r>
        <w:rPr>
          <w:spacing w:val="-17"/>
        </w:rPr>
        <w:t>工业互联网安全、融合在线数据的创新金融产品、面向企业数字</w:t>
      </w:r>
      <w:r>
        <w:rPr>
          <w:spacing w:val="-20"/>
        </w:rPr>
        <w:t>化转型的技能型复合型人才在线培训、数字化工业设计、在线检测认证、在线知识产权与区域品牌运营等新产品目录。</w:t>
      </w:r>
    </w:p>
    <w:p>
      <w:pPr>
        <w:pStyle w:val="ListParagraph"/>
        <w:numPr>
          <w:ilvl w:val="0"/>
          <w:numId w:val="3"/>
        </w:numPr>
        <w:tabs>
          <w:tab w:pos="1556" w:val="left" w:leader="none"/>
        </w:tabs>
        <w:spacing w:line="328" w:lineRule="auto" w:before="0" w:after="0"/>
        <w:ind w:left="508" w:right="545" w:firstLine="640"/>
        <w:jc w:val="both"/>
        <w:rPr>
          <w:sz w:val="32"/>
        </w:rPr>
      </w:pPr>
      <w:r>
        <w:rPr>
          <w:spacing w:val="3"/>
          <w:w w:val="95"/>
          <w:sz w:val="32"/>
        </w:rPr>
        <w:t>试点示范供应商联合体在当期服务券发放周期内应服务 </w:t>
      </w:r>
      <w:r>
        <w:rPr>
          <w:spacing w:val="-14"/>
          <w:sz w:val="32"/>
        </w:rPr>
        <w:t>不少于 </w:t>
      </w:r>
      <w:r>
        <w:rPr>
          <w:rFonts w:ascii="Times New Roman" w:eastAsia="Times New Roman"/>
          <w:sz w:val="32"/>
        </w:rPr>
        <w:t>10</w:t>
      </w:r>
      <w:r>
        <w:rPr>
          <w:rFonts w:ascii="Times New Roman" w:eastAsia="Times New Roman"/>
          <w:spacing w:val="17"/>
          <w:sz w:val="32"/>
        </w:rPr>
        <w:t> </w:t>
      </w:r>
      <w:r>
        <w:rPr>
          <w:sz w:val="32"/>
        </w:rPr>
        <w:t>家有典型示范牵引作用的集群企业，且联合体各供应</w:t>
      </w:r>
      <w:r>
        <w:rPr>
          <w:spacing w:val="-4"/>
          <w:sz w:val="32"/>
        </w:rPr>
        <w:t>商基于业务互通和应用集成共同服务的企业应不少于 </w:t>
      </w:r>
      <w:r>
        <w:rPr>
          <w:rFonts w:ascii="Times New Roman" w:eastAsia="Times New Roman"/>
          <w:sz w:val="32"/>
        </w:rPr>
        <w:t>3</w:t>
      </w:r>
      <w:r>
        <w:rPr>
          <w:rFonts w:ascii="Times New Roman" w:eastAsia="Times New Roman"/>
          <w:spacing w:val="-8"/>
          <w:sz w:val="32"/>
        </w:rPr>
        <w:t> </w:t>
      </w:r>
      <w:r>
        <w:rPr>
          <w:spacing w:val="-29"/>
          <w:sz w:val="32"/>
        </w:rPr>
        <w:t>家；同时</w:t>
      </w:r>
      <w:r>
        <w:rPr>
          <w:spacing w:val="-37"/>
          <w:sz w:val="32"/>
        </w:rPr>
        <w:t>应提供不低于 </w:t>
      </w:r>
      <w:r>
        <w:rPr>
          <w:rFonts w:ascii="Times New Roman" w:eastAsia="Times New Roman"/>
          <w:sz w:val="32"/>
        </w:rPr>
        <w:t>1</w:t>
      </w:r>
      <w:r>
        <w:rPr>
          <w:rFonts w:ascii="Times New Roman" w:eastAsia="Times New Roman"/>
          <w:spacing w:val="-7"/>
          <w:sz w:val="32"/>
        </w:rPr>
        <w:t> </w:t>
      </w:r>
      <w:r>
        <w:rPr>
          <w:spacing w:val="-9"/>
          <w:sz w:val="32"/>
        </w:rPr>
        <w:t>家企业作为可供现场观摩、学习、体验的典型标杆案例。</w:t>
      </w:r>
    </w:p>
    <w:p>
      <w:pPr>
        <w:pStyle w:val="ListParagraph"/>
        <w:numPr>
          <w:ilvl w:val="0"/>
          <w:numId w:val="3"/>
        </w:numPr>
        <w:tabs>
          <w:tab w:pos="1541" w:val="left" w:leader="none"/>
        </w:tabs>
        <w:spacing w:line="326" w:lineRule="auto" w:before="0" w:after="0"/>
        <w:ind w:left="508" w:right="545" w:firstLine="626"/>
        <w:jc w:val="both"/>
        <w:rPr>
          <w:sz w:val="32"/>
        </w:rPr>
      </w:pPr>
      <w:r>
        <w:rPr>
          <w:spacing w:val="3"/>
          <w:w w:val="95"/>
          <w:sz w:val="32"/>
        </w:rPr>
        <w:t>集群试点企业与供应商签订一对多合同、购买多家供应 </w:t>
      </w:r>
      <w:r>
        <w:rPr>
          <w:spacing w:val="-10"/>
          <w:w w:val="95"/>
          <w:sz w:val="32"/>
        </w:rPr>
        <w:t>商产品的，其合同可用于申请多张服务券；同时适当提高该试点 </w:t>
      </w:r>
      <w:r>
        <w:rPr>
          <w:spacing w:val="-10"/>
          <w:sz w:val="32"/>
        </w:rPr>
        <w:t>企业当期奖补上限（</w:t>
      </w:r>
      <w:r>
        <w:rPr>
          <w:spacing w:val="-28"/>
          <w:sz w:val="32"/>
        </w:rPr>
        <w:t>不超过 </w:t>
      </w:r>
      <w:r>
        <w:rPr>
          <w:rFonts w:ascii="Times New Roman" w:eastAsia="Times New Roman"/>
          <w:sz w:val="32"/>
        </w:rPr>
        <w:t>100</w:t>
      </w:r>
      <w:r>
        <w:rPr>
          <w:rFonts w:ascii="Times New Roman" w:eastAsia="Times New Roman"/>
          <w:spacing w:val="-2"/>
          <w:sz w:val="32"/>
        </w:rPr>
        <w:t> </w:t>
      </w:r>
      <w:r>
        <w:rPr>
          <w:sz w:val="32"/>
        </w:rPr>
        <w:t>万</w:t>
      </w:r>
      <w:r>
        <w:rPr>
          <w:spacing w:val="-161"/>
          <w:sz w:val="32"/>
        </w:rPr>
        <w:t>）</w:t>
      </w:r>
      <w:r>
        <w:rPr>
          <w:sz w:val="32"/>
        </w:rPr>
        <w:t>。</w:t>
      </w:r>
    </w:p>
    <w:p>
      <w:pPr>
        <w:pStyle w:val="ListParagraph"/>
        <w:numPr>
          <w:ilvl w:val="0"/>
          <w:numId w:val="3"/>
        </w:numPr>
        <w:tabs>
          <w:tab w:pos="1490" w:val="left" w:leader="none"/>
        </w:tabs>
        <w:spacing w:line="326" w:lineRule="auto" w:before="0" w:after="0"/>
        <w:ind w:left="508" w:right="432" w:firstLine="578"/>
        <w:jc w:val="left"/>
        <w:rPr>
          <w:sz w:val="32"/>
        </w:rPr>
      </w:pPr>
      <w:r>
        <w:rPr>
          <w:spacing w:val="-9"/>
          <w:sz w:val="32"/>
        </w:rPr>
        <w:t>对于纳入集群试点示范的供应商，在供应商额度上予以适</w:t>
      </w:r>
      <w:r>
        <w:rPr>
          <w:spacing w:val="-9"/>
          <w:w w:val="95"/>
          <w:sz w:val="32"/>
        </w:rPr>
        <w:t>当增加；对其试点客户，在服务券申领和兑现时予以优先保障。</w:t>
      </w:r>
    </w:p>
    <w:p>
      <w:pPr>
        <w:pStyle w:val="ListParagraph"/>
        <w:numPr>
          <w:ilvl w:val="0"/>
          <w:numId w:val="3"/>
        </w:numPr>
        <w:tabs>
          <w:tab w:pos="1490" w:val="left" w:leader="none"/>
        </w:tabs>
        <w:spacing w:line="328" w:lineRule="auto" w:before="0" w:after="0"/>
        <w:ind w:left="508" w:right="544" w:firstLine="578"/>
        <w:jc w:val="left"/>
        <w:rPr>
          <w:sz w:val="32"/>
        </w:rPr>
      </w:pPr>
      <w:r>
        <w:rPr>
          <w:spacing w:val="-10"/>
          <w:w w:val="95"/>
          <w:sz w:val="32"/>
        </w:rPr>
        <w:t>纳入试点示范的服务券，其申领、兑现、审核等流程及相 </w:t>
      </w:r>
      <w:r>
        <w:rPr>
          <w:spacing w:val="-10"/>
          <w:sz w:val="32"/>
        </w:rPr>
        <w:t>应截止日期与普通服务券相同。</w:t>
      </w:r>
    </w:p>
    <w:p>
      <w:pPr>
        <w:pStyle w:val="ListParagraph"/>
        <w:numPr>
          <w:ilvl w:val="0"/>
          <w:numId w:val="3"/>
        </w:numPr>
        <w:tabs>
          <w:tab w:pos="1556" w:val="left" w:leader="none"/>
        </w:tabs>
        <w:spacing w:line="328" w:lineRule="auto" w:before="0" w:after="0"/>
        <w:ind w:left="508" w:right="545" w:firstLine="640"/>
        <w:jc w:val="both"/>
        <w:rPr>
          <w:sz w:val="32"/>
        </w:rPr>
      </w:pPr>
      <w:r>
        <w:rPr>
          <w:spacing w:val="3"/>
          <w:w w:val="95"/>
          <w:sz w:val="32"/>
        </w:rPr>
        <w:t>各集群试点的服务券总额根据当年财政预算及各集群试 </w:t>
      </w:r>
      <w:r>
        <w:rPr>
          <w:spacing w:val="-7"/>
          <w:w w:val="95"/>
          <w:sz w:val="32"/>
        </w:rPr>
        <w:t>点进展评估情况统筹安排。纳入试点示范的服务券不占用地市的 </w:t>
      </w:r>
      <w:r>
        <w:rPr>
          <w:spacing w:val="-14"/>
          <w:w w:val="95"/>
          <w:sz w:val="32"/>
        </w:rPr>
        <w:t>服务券额度。省工业和信息化厅根据当期试点示范的申请和完成 </w:t>
      </w:r>
      <w:r>
        <w:rPr>
          <w:spacing w:val="-14"/>
          <w:sz w:val="32"/>
        </w:rPr>
        <w:t>情况，安排对应的资金一同下达给各地市。</w:t>
      </w:r>
    </w:p>
    <w:p>
      <w:pPr>
        <w:pStyle w:val="ListParagraph"/>
        <w:numPr>
          <w:ilvl w:val="0"/>
          <w:numId w:val="3"/>
        </w:numPr>
        <w:tabs>
          <w:tab w:pos="1570" w:val="left" w:leader="none"/>
        </w:tabs>
        <w:spacing w:line="328" w:lineRule="auto" w:before="0" w:after="0"/>
        <w:ind w:left="508" w:right="543" w:firstLine="640"/>
        <w:jc w:val="left"/>
        <w:rPr>
          <w:sz w:val="32"/>
        </w:rPr>
      </w:pPr>
      <w:r>
        <w:rPr>
          <w:spacing w:val="18"/>
          <w:w w:val="95"/>
          <w:sz w:val="32"/>
        </w:rPr>
        <w:t>集群试点由省工业和信息化厅统一组织评估与现场抽 </w:t>
      </w:r>
      <w:r>
        <w:rPr>
          <w:spacing w:val="18"/>
          <w:sz w:val="32"/>
        </w:rPr>
        <w:t>查，并根据试点进展情况不断优化迭代具体政策措施。</w:t>
      </w:r>
    </w:p>
    <w:p>
      <w:pPr>
        <w:pStyle w:val="BodyText"/>
        <w:spacing w:line="407" w:lineRule="exact"/>
        <w:ind w:left="1149"/>
      </w:pPr>
      <w:r>
        <w:rPr/>
        <w:t>（七）粤东西北区域支持</w:t>
      </w:r>
    </w:p>
    <w:p>
      <w:pPr>
        <w:pStyle w:val="ListParagraph"/>
        <w:numPr>
          <w:ilvl w:val="0"/>
          <w:numId w:val="3"/>
        </w:numPr>
        <w:tabs>
          <w:tab w:pos="1659" w:val="left" w:leader="none"/>
        </w:tabs>
        <w:spacing w:line="240" w:lineRule="auto" w:before="134" w:after="0"/>
        <w:ind w:left="1658" w:right="0" w:hanging="510"/>
        <w:jc w:val="left"/>
        <w:rPr>
          <w:sz w:val="32"/>
        </w:rPr>
      </w:pPr>
      <w:r>
        <w:rPr>
          <w:sz w:val="32"/>
        </w:rPr>
        <w:t>广东省工业互联网</w:t>
      </w:r>
      <w:r>
        <w:rPr>
          <w:rFonts w:ascii="Times New Roman" w:hAnsi="Times New Roman" w:eastAsia="Times New Roman"/>
          <w:sz w:val="32"/>
        </w:rPr>
        <w:t>“</w:t>
      </w:r>
      <w:r>
        <w:rPr>
          <w:sz w:val="32"/>
        </w:rPr>
        <w:t>上云上平台</w:t>
      </w:r>
      <w:r>
        <w:rPr>
          <w:rFonts w:ascii="Times New Roman" w:hAnsi="Times New Roman" w:eastAsia="Times New Roman"/>
          <w:sz w:val="32"/>
        </w:rPr>
        <w:t>”</w:t>
      </w:r>
      <w:r>
        <w:rPr>
          <w:sz w:val="32"/>
        </w:rPr>
        <w:t>将面向粤东西北地区开</w:t>
      </w:r>
    </w:p>
    <w:p>
      <w:pPr>
        <w:spacing w:after="0" w:line="240" w:lineRule="auto"/>
        <w:jc w:val="left"/>
        <w:rPr>
          <w:sz w:val="32"/>
        </w:rPr>
        <w:sectPr>
          <w:pgSz w:w="11900" w:h="16840"/>
          <w:pgMar w:header="0" w:footer="1325" w:top="1600" w:bottom="1520" w:left="1080" w:right="920"/>
        </w:sectPr>
      </w:pPr>
    </w:p>
    <w:p>
      <w:pPr>
        <w:pStyle w:val="BodyText"/>
        <w:spacing w:before="3"/>
        <w:rPr>
          <w:sz w:val="21"/>
        </w:rPr>
      </w:pPr>
    </w:p>
    <w:p>
      <w:pPr>
        <w:pStyle w:val="BodyText"/>
        <w:spacing w:before="54"/>
        <w:ind w:left="508"/>
      </w:pPr>
      <w:r>
        <w:rPr/>
        <w:t>展服务券定向支持工作，具体方案另行通知。</w:t>
      </w:r>
    </w:p>
    <w:p>
      <w:pPr>
        <w:spacing w:before="259"/>
        <w:ind w:left="928" w:right="0" w:firstLine="0"/>
        <w:jc w:val="left"/>
        <w:rPr>
          <w:sz w:val="21"/>
        </w:rPr>
      </w:pPr>
      <w:r>
        <w:rPr>
          <w:sz w:val="21"/>
        </w:rPr>
        <w:t>六、时限</w:t>
      </w:r>
    </w:p>
    <w:p>
      <w:pPr>
        <w:pStyle w:val="BodyText"/>
        <w:spacing w:before="1"/>
        <w:rPr>
          <w:sz w:val="14"/>
        </w:rPr>
      </w:pPr>
    </w:p>
    <w:p>
      <w:pPr>
        <w:pStyle w:val="BodyText"/>
        <w:spacing w:line="328" w:lineRule="auto"/>
        <w:ind w:left="508" w:right="432" w:firstLine="640"/>
      </w:pPr>
      <w:r>
        <w:rPr/>
        <w:t>（一</w:t>
      </w:r>
      <w:r>
        <w:rPr>
          <w:spacing w:val="-116"/>
        </w:rPr>
        <w:t>）</w:t>
      </w:r>
      <w:r>
        <w:rPr>
          <w:spacing w:val="-7"/>
        </w:rPr>
        <w:t>省工业和信息化厅至少提前 </w:t>
      </w:r>
      <w:r>
        <w:rPr>
          <w:rFonts w:ascii="Times New Roman" w:eastAsia="Times New Roman"/>
        </w:rPr>
        <w:t>3 </w:t>
      </w:r>
      <w:r>
        <w:rPr/>
        <w:t>天在服务平台上公布服</w:t>
      </w:r>
      <w:r>
        <w:rPr>
          <w:spacing w:val="-5"/>
        </w:rPr>
        <w:t>务券申领和兑现启动日期；至少提前 </w:t>
      </w:r>
      <w:r>
        <w:rPr>
          <w:rFonts w:ascii="Times New Roman" w:eastAsia="Times New Roman"/>
        </w:rPr>
        <w:t>3 </w:t>
      </w:r>
      <w:r>
        <w:rPr/>
        <w:t>天公布当期服务券申领、</w:t>
      </w:r>
      <w:r>
        <w:rPr>
          <w:spacing w:val="-11"/>
        </w:rPr>
        <w:t>兑现的截止日期。企业应在截止日期前完成服务券的申领或兑现申请。服务券逾期未申请兑现或者兑现审核未通过则作废。</w:t>
      </w:r>
    </w:p>
    <w:p>
      <w:pPr>
        <w:pStyle w:val="BodyText"/>
        <w:spacing w:line="328" w:lineRule="auto"/>
        <w:ind w:left="508" w:right="545" w:firstLine="640"/>
        <w:jc w:val="both"/>
      </w:pPr>
      <w:r>
        <w:rPr>
          <w:w w:val="95"/>
        </w:rPr>
        <w:t>（二</w:t>
      </w:r>
      <w:r>
        <w:rPr>
          <w:spacing w:val="-58"/>
          <w:w w:val="95"/>
        </w:rPr>
        <w:t>）</w:t>
      </w:r>
      <w:r>
        <w:rPr>
          <w:spacing w:val="-7"/>
          <w:w w:val="95"/>
        </w:rPr>
        <w:t>对工业企业的申请，地市工业和信息化主管部门应在 </w:t>
      </w:r>
      <w:r>
        <w:rPr>
          <w:spacing w:val="-15"/>
          <w:w w:val="95"/>
        </w:rPr>
        <w:t>服务平台通知的时间内完成审核。对需要修改或补充资料的企业 </w:t>
      </w:r>
      <w:r>
        <w:rPr>
          <w:spacing w:val="-13"/>
          <w:w w:val="95"/>
        </w:rPr>
        <w:t>申请，地市工业和信息化主管部门可退回申请，并一次性告知退 </w:t>
      </w:r>
      <w:r>
        <w:rPr>
          <w:spacing w:val="6"/>
          <w:w w:val="95"/>
        </w:rPr>
        <w:t>回理由和需补充完善的资料。对不符合本方案扶持方向和要求 </w:t>
      </w:r>
      <w:r>
        <w:rPr>
          <w:spacing w:val="6"/>
        </w:rPr>
        <w:t>的，地市可不通过其申请，并告知理由。</w:t>
      </w:r>
    </w:p>
    <w:p>
      <w:pPr>
        <w:pStyle w:val="BodyText"/>
        <w:spacing w:line="328" w:lineRule="auto"/>
        <w:ind w:left="508" w:right="547" w:firstLine="640"/>
        <w:jc w:val="both"/>
      </w:pPr>
      <w:r>
        <w:rPr>
          <w:w w:val="95"/>
        </w:rPr>
        <w:t>（三</w:t>
      </w:r>
      <w:r>
        <w:rPr>
          <w:spacing w:val="-116"/>
          <w:w w:val="95"/>
        </w:rPr>
        <w:t>）</w:t>
      </w:r>
      <w:r>
        <w:rPr>
          <w:w w:val="95"/>
        </w:rPr>
        <w:t>地市工业和信息化主管部门结算清单应按照相关规定 </w:t>
      </w:r>
      <w:r>
        <w:rPr>
          <w:spacing w:val="-11"/>
          <w:w w:val="95"/>
        </w:rPr>
        <w:t>予以公示。对公示结果有异议的企业，应在公示期内向地市工业 </w:t>
      </w:r>
      <w:r>
        <w:rPr>
          <w:spacing w:val="-17"/>
          <w:w w:val="95"/>
        </w:rPr>
        <w:t>和信息化主管部门提出并提供相关材料。地市工业和信息化主管 </w:t>
      </w:r>
      <w:r>
        <w:rPr>
          <w:spacing w:val="-21"/>
          <w:w w:val="95"/>
        </w:rPr>
        <w:t>部门应在财政资金兑付前予以处理和答复。如在财政资金兑付前 </w:t>
      </w:r>
      <w:r>
        <w:rPr>
          <w:spacing w:val="-20"/>
          <w:w w:val="95"/>
        </w:rPr>
        <w:t>仍有异议未能处理完成的，可先兑付结算不涉及异议的其他服务 </w:t>
      </w:r>
      <w:r>
        <w:rPr>
          <w:spacing w:val="-20"/>
        </w:rPr>
        <w:t>券；涉及异议的服务券，根据处理情况不予结算或推迟结算。</w:t>
      </w:r>
    </w:p>
    <w:p>
      <w:pPr>
        <w:pStyle w:val="BodyText"/>
        <w:spacing w:line="400" w:lineRule="exact"/>
        <w:ind w:left="1149"/>
      </w:pPr>
      <w:r>
        <w:rPr/>
        <w:t>七、管理和监督</w:t>
      </w:r>
    </w:p>
    <w:p>
      <w:pPr>
        <w:pStyle w:val="BodyText"/>
        <w:spacing w:line="328" w:lineRule="auto" w:before="136"/>
        <w:ind w:left="508" w:right="544" w:firstLine="640"/>
        <w:jc w:val="both"/>
      </w:pPr>
      <w:r>
        <w:rPr>
          <w:spacing w:val="4"/>
        </w:rPr>
        <w:t>（</w:t>
      </w:r>
      <w:r>
        <w:rPr/>
        <w:t>一</w:t>
      </w:r>
      <w:r>
        <w:rPr>
          <w:spacing w:val="4"/>
        </w:rPr>
        <w:t>）</w:t>
      </w:r>
      <w:r>
        <w:rPr/>
        <w:t>省工业和信息化厅建立</w:t>
      </w:r>
      <w:r>
        <w:rPr>
          <w:rFonts w:ascii="Times New Roman" w:hAnsi="Times New Roman" w:eastAsia="Times New Roman"/>
          <w:spacing w:val="4"/>
        </w:rPr>
        <w:t>“</w:t>
      </w:r>
      <w:r>
        <w:rPr/>
        <w:t>广东省工业互联网专家委员</w:t>
      </w:r>
      <w:r>
        <w:rPr>
          <w:spacing w:val="4"/>
        </w:rPr>
        <w:t>会</w:t>
      </w:r>
      <w:r>
        <w:rPr>
          <w:rFonts w:ascii="Times New Roman" w:hAnsi="Times New Roman" w:eastAsia="Times New Roman"/>
        </w:rPr>
        <w:t>”</w:t>
      </w:r>
      <w:r>
        <w:rPr>
          <w:spacing w:val="2"/>
        </w:rPr>
        <w:t>。专家委对省工业和信息化厅负责，对</w:t>
      </w:r>
      <w:r>
        <w:rPr>
          <w:rFonts w:ascii="Times New Roman" w:hAnsi="Times New Roman" w:eastAsia="Times New Roman"/>
          <w:spacing w:val="4"/>
        </w:rPr>
        <w:t>“</w:t>
      </w:r>
      <w:r>
        <w:rPr>
          <w:spacing w:val="1"/>
        </w:rPr>
        <w:t>上云上平台</w:t>
      </w:r>
      <w:r>
        <w:rPr>
          <w:rFonts w:ascii="Times New Roman" w:hAnsi="Times New Roman" w:eastAsia="Times New Roman"/>
        </w:rPr>
        <w:t>”</w:t>
      </w:r>
      <w:r>
        <w:rPr>
          <w:spacing w:val="2"/>
        </w:rPr>
        <w:t>相关文</w:t>
      </w:r>
      <w:r>
        <w:rPr>
          <w:spacing w:val="-12"/>
          <w:w w:val="95"/>
        </w:rPr>
        <w:t>件、标准进行审议，为相关审核、抽查、评估等工作提供技术支 </w:t>
      </w:r>
      <w:r>
        <w:rPr>
          <w:spacing w:val="-12"/>
        </w:rPr>
        <w:t>撑。</w:t>
      </w:r>
    </w:p>
    <w:p>
      <w:pPr>
        <w:pStyle w:val="BodyText"/>
        <w:spacing w:line="326" w:lineRule="auto"/>
        <w:ind w:left="508" w:right="545" w:firstLine="640"/>
      </w:pPr>
      <w:r>
        <w:rPr>
          <w:w w:val="95"/>
        </w:rPr>
        <w:t>（二</w:t>
      </w:r>
      <w:r>
        <w:rPr>
          <w:spacing w:val="-39"/>
          <w:w w:val="95"/>
        </w:rPr>
        <w:t>）</w:t>
      </w:r>
      <w:r>
        <w:rPr>
          <w:spacing w:val="-6"/>
          <w:w w:val="95"/>
        </w:rPr>
        <w:t>服务券奖补采取总额控制、先到先得的方式。按照企 </w:t>
      </w:r>
      <w:r>
        <w:rPr>
          <w:spacing w:val="-12"/>
          <w:w w:val="95"/>
        </w:rPr>
        <w:t>业申请的系统日期先后顺序进行发放和兑现。当期出现资金缺口</w:t>
      </w:r>
    </w:p>
    <w:p>
      <w:pPr>
        <w:spacing w:after="0" w:line="326" w:lineRule="auto"/>
        <w:sectPr>
          <w:pgSz w:w="11900" w:h="16840"/>
          <w:pgMar w:header="0" w:footer="1325" w:top="1600" w:bottom="1520" w:left="1080" w:right="920"/>
        </w:sectPr>
      </w:pPr>
    </w:p>
    <w:p>
      <w:pPr>
        <w:pStyle w:val="BodyText"/>
        <w:spacing w:before="3"/>
        <w:rPr>
          <w:sz w:val="21"/>
        </w:rPr>
      </w:pPr>
    </w:p>
    <w:p>
      <w:pPr>
        <w:pStyle w:val="BodyText"/>
        <w:spacing w:before="54"/>
        <w:ind w:left="508"/>
      </w:pPr>
      <w:r>
        <w:rPr/>
        <w:t>未能兑现的服务券，在下个结算期或预算年优先结算。</w:t>
      </w:r>
    </w:p>
    <w:p>
      <w:pPr>
        <w:pStyle w:val="BodyText"/>
        <w:spacing w:line="328" w:lineRule="auto" w:before="149"/>
        <w:ind w:left="508" w:right="384" w:firstLine="640"/>
      </w:pPr>
      <w:r>
        <w:rPr>
          <w:w w:val="95"/>
        </w:rPr>
        <w:t>（三</w:t>
      </w:r>
      <w:r>
        <w:rPr>
          <w:spacing w:val="-92"/>
          <w:w w:val="95"/>
        </w:rPr>
        <w:t>）</w:t>
      </w:r>
      <w:r>
        <w:rPr>
          <w:spacing w:val="-14"/>
          <w:w w:val="95"/>
        </w:rPr>
        <w:t>为保障公平，各地市、各供应商均设置了服务券额度。 </w:t>
      </w:r>
      <w:r>
        <w:rPr>
          <w:spacing w:val="-18"/>
        </w:rPr>
        <w:t>地市额度依据当地工业总产值和企业数量等因素预先分配，并根</w:t>
      </w:r>
      <w:r>
        <w:rPr>
          <w:spacing w:val="6"/>
        </w:rPr>
        <w:t>据服务券实时申领情况进行动态调整。供应商额度依据服务能</w:t>
      </w:r>
      <w:r>
        <w:rPr>
          <w:spacing w:val="-12"/>
        </w:rPr>
        <w:t>力、信用水平等因素预先分配，并根据服务券实时申领情况进行动态调整。</w:t>
      </w:r>
    </w:p>
    <w:p>
      <w:pPr>
        <w:pStyle w:val="BodyText"/>
        <w:spacing w:line="402" w:lineRule="exact"/>
        <w:ind w:left="1149"/>
      </w:pPr>
      <w:r>
        <w:rPr/>
        <w:t>（四）奖励。</w:t>
      </w:r>
    </w:p>
    <w:p>
      <w:pPr>
        <w:pStyle w:val="ListParagraph"/>
        <w:numPr>
          <w:ilvl w:val="0"/>
          <w:numId w:val="5"/>
        </w:numPr>
        <w:tabs>
          <w:tab w:pos="1392" w:val="left" w:leader="none"/>
        </w:tabs>
        <w:spacing w:line="326" w:lineRule="auto" w:before="149" w:after="0"/>
        <w:ind w:left="508" w:right="542" w:firstLine="640"/>
        <w:jc w:val="left"/>
        <w:rPr>
          <w:sz w:val="32"/>
        </w:rPr>
      </w:pPr>
      <w:r>
        <w:rPr>
          <w:spacing w:val="-3"/>
          <w:w w:val="95"/>
          <w:sz w:val="32"/>
        </w:rPr>
        <w:t>对应用服务产品优秀、实施企业数量多、实施效果好的供 </w:t>
      </w:r>
      <w:r>
        <w:rPr>
          <w:spacing w:val="-3"/>
          <w:sz w:val="32"/>
        </w:rPr>
        <w:t>应商，在下一期服务券发放时优先保障服务券额度。</w:t>
      </w:r>
    </w:p>
    <w:p>
      <w:pPr>
        <w:pStyle w:val="ListParagraph"/>
        <w:numPr>
          <w:ilvl w:val="0"/>
          <w:numId w:val="5"/>
        </w:numPr>
        <w:tabs>
          <w:tab w:pos="1392" w:val="left" w:leader="none"/>
        </w:tabs>
        <w:spacing w:line="326" w:lineRule="auto" w:before="6" w:after="0"/>
        <w:ind w:left="508" w:right="545" w:firstLine="640"/>
        <w:jc w:val="left"/>
        <w:rPr>
          <w:sz w:val="32"/>
        </w:rPr>
      </w:pPr>
      <w:r>
        <w:rPr>
          <w:spacing w:val="-3"/>
          <w:w w:val="95"/>
          <w:sz w:val="32"/>
        </w:rPr>
        <w:t>对试点示范任务按时完成、效果良好的供应商，在下一期 </w:t>
      </w:r>
      <w:r>
        <w:rPr>
          <w:spacing w:val="-3"/>
          <w:sz w:val="32"/>
        </w:rPr>
        <w:t>服务券发放时适当保留其试点示范额度。</w:t>
      </w:r>
    </w:p>
    <w:p>
      <w:pPr>
        <w:pStyle w:val="ListParagraph"/>
        <w:numPr>
          <w:ilvl w:val="0"/>
          <w:numId w:val="5"/>
        </w:numPr>
        <w:tabs>
          <w:tab w:pos="1392" w:val="left" w:leader="none"/>
        </w:tabs>
        <w:spacing w:line="328" w:lineRule="auto" w:before="3" w:after="0"/>
        <w:ind w:left="508" w:right="545" w:firstLine="640"/>
        <w:jc w:val="left"/>
        <w:rPr>
          <w:sz w:val="32"/>
        </w:rPr>
      </w:pPr>
      <w:r>
        <w:rPr>
          <w:w w:val="95"/>
          <w:sz w:val="32"/>
        </w:rPr>
        <w:t>适时评选</w:t>
      </w:r>
      <w:r>
        <w:rPr>
          <w:rFonts w:ascii="Times New Roman" w:hAnsi="Times New Roman" w:eastAsia="Times New Roman"/>
          <w:w w:val="95"/>
          <w:sz w:val="32"/>
        </w:rPr>
        <w:t>“</w:t>
      </w:r>
      <w:r>
        <w:rPr>
          <w:w w:val="95"/>
          <w:sz w:val="32"/>
        </w:rPr>
        <w:t>广东省工业互联网优秀供应商</w:t>
      </w:r>
      <w:r>
        <w:rPr>
          <w:rFonts w:ascii="Times New Roman" w:hAnsi="Times New Roman" w:eastAsia="Times New Roman"/>
          <w:w w:val="95"/>
          <w:sz w:val="32"/>
        </w:rPr>
        <w:t>”</w:t>
      </w:r>
      <w:r>
        <w:rPr>
          <w:w w:val="95"/>
          <w:sz w:val="32"/>
        </w:rPr>
        <w:t>，并对其应用产 </w:t>
      </w:r>
      <w:r>
        <w:rPr>
          <w:sz w:val="32"/>
        </w:rPr>
        <w:t>品予以重点推广。</w:t>
      </w:r>
    </w:p>
    <w:p>
      <w:pPr>
        <w:pStyle w:val="BodyText"/>
        <w:spacing w:line="407" w:lineRule="exact"/>
        <w:ind w:left="1149"/>
      </w:pPr>
      <w:r>
        <w:rPr/>
        <w:t>（五）惩罚。</w:t>
      </w:r>
    </w:p>
    <w:p>
      <w:pPr>
        <w:pStyle w:val="ListParagraph"/>
        <w:numPr>
          <w:ilvl w:val="0"/>
          <w:numId w:val="6"/>
        </w:numPr>
        <w:tabs>
          <w:tab w:pos="1392" w:val="left" w:leader="none"/>
        </w:tabs>
        <w:spacing w:line="328" w:lineRule="auto" w:before="149" w:after="0"/>
        <w:ind w:left="508" w:right="545" w:firstLine="640"/>
        <w:jc w:val="left"/>
        <w:rPr>
          <w:sz w:val="32"/>
        </w:rPr>
      </w:pPr>
      <w:r>
        <w:rPr>
          <w:spacing w:val="-2"/>
          <w:w w:val="95"/>
          <w:sz w:val="32"/>
        </w:rPr>
        <w:t>对存在下列行为的供应商或工业企业，取消其享受本政策 </w:t>
      </w:r>
      <w:r>
        <w:rPr>
          <w:spacing w:val="-2"/>
          <w:sz w:val="32"/>
        </w:rPr>
        <w:t>的权利，并依照有关法律法规处理：</w:t>
      </w:r>
    </w:p>
    <w:p>
      <w:pPr>
        <w:pStyle w:val="BodyText"/>
        <w:spacing w:line="326" w:lineRule="auto"/>
        <w:ind w:left="508" w:right="432" w:firstLine="640"/>
      </w:pPr>
      <w:r>
        <w:rPr>
          <w:rFonts w:ascii="Times New Roman" w:hAnsi="Times New Roman" w:eastAsia="Times New Roman"/>
          <w:w w:val="95"/>
        </w:rPr>
        <w:t>——</w:t>
      </w:r>
      <w:r>
        <w:rPr>
          <w:w w:val="95"/>
        </w:rPr>
        <w:t>提供虚假合同、票据等文件资料，以及提供虚假软件、 </w:t>
      </w:r>
      <w:r>
        <w:rPr>
          <w:rFonts w:ascii="Times New Roman" w:hAnsi="Times New Roman" w:eastAsia="Times New Roman"/>
        </w:rPr>
        <w:t>IP</w:t>
      </w:r>
      <w:r>
        <w:rPr>
          <w:rFonts w:ascii="Times New Roman" w:hAnsi="Times New Roman" w:eastAsia="Times New Roman"/>
          <w:spacing w:val="-2"/>
        </w:rPr>
        <w:t> </w:t>
      </w:r>
      <w:r>
        <w:rPr/>
        <w:t>地址等；</w:t>
      </w:r>
    </w:p>
    <w:p>
      <w:pPr>
        <w:pStyle w:val="BodyText"/>
        <w:spacing w:line="326" w:lineRule="auto" w:before="3"/>
        <w:ind w:left="508" w:right="545" w:firstLine="640"/>
      </w:pPr>
      <w:r>
        <w:rPr>
          <w:rFonts w:ascii="Times New Roman" w:hAnsi="Times New Roman" w:eastAsia="Times New Roman"/>
          <w:spacing w:val="4"/>
          <w:w w:val="95"/>
        </w:rPr>
        <w:t>——</w:t>
      </w:r>
      <w:r>
        <w:rPr>
          <w:spacing w:val="8"/>
          <w:w w:val="95"/>
        </w:rPr>
        <w:t>供应商为客户交付的内容与所申请产品应当具有的功 </w:t>
      </w:r>
      <w:r>
        <w:rPr>
          <w:spacing w:val="8"/>
        </w:rPr>
        <w:t>能或合同约定的要求存在明显差距。</w:t>
      </w:r>
    </w:p>
    <w:p>
      <w:pPr>
        <w:pStyle w:val="BodyText"/>
        <w:spacing w:before="4"/>
        <w:ind w:left="1149"/>
      </w:pPr>
      <w:r>
        <w:rPr>
          <w:rFonts w:ascii="Times New Roman" w:hAnsi="Times New Roman" w:eastAsia="Times New Roman"/>
        </w:rPr>
        <w:t>——</w:t>
      </w:r>
      <w:r>
        <w:rPr/>
        <w:t>服务券的合同金额，明显超出市场合理价格；</w:t>
      </w:r>
    </w:p>
    <w:p>
      <w:pPr>
        <w:pStyle w:val="ListParagraph"/>
        <w:numPr>
          <w:ilvl w:val="0"/>
          <w:numId w:val="6"/>
        </w:numPr>
        <w:tabs>
          <w:tab w:pos="1392" w:val="left" w:leader="none"/>
        </w:tabs>
        <w:spacing w:line="240" w:lineRule="auto" w:before="151" w:after="0"/>
        <w:ind w:left="1391" w:right="0" w:hanging="243"/>
        <w:jc w:val="left"/>
        <w:rPr>
          <w:sz w:val="32"/>
        </w:rPr>
      </w:pPr>
      <w:r>
        <w:rPr>
          <w:spacing w:val="-3"/>
          <w:sz w:val="32"/>
        </w:rPr>
        <w:t>工业企业累积两次未兑现服务券的，取消其服务券申领资</w:t>
      </w:r>
    </w:p>
    <w:p>
      <w:pPr>
        <w:pStyle w:val="BodyText"/>
        <w:spacing w:before="149"/>
        <w:ind w:left="508"/>
      </w:pPr>
      <w:r>
        <w:rPr/>
        <w:t>格。</w:t>
      </w:r>
    </w:p>
    <w:p>
      <w:pPr>
        <w:pStyle w:val="ListParagraph"/>
        <w:numPr>
          <w:ilvl w:val="0"/>
          <w:numId w:val="6"/>
        </w:numPr>
        <w:tabs>
          <w:tab w:pos="1392" w:val="left" w:leader="none"/>
        </w:tabs>
        <w:spacing w:line="240" w:lineRule="auto" w:before="150" w:after="0"/>
        <w:ind w:left="1391" w:right="0" w:hanging="243"/>
        <w:jc w:val="left"/>
        <w:rPr>
          <w:sz w:val="32"/>
        </w:rPr>
      </w:pPr>
      <w:r>
        <w:rPr>
          <w:spacing w:val="-2"/>
          <w:sz w:val="32"/>
        </w:rPr>
        <w:t>试点示范供应商未完成试点示范任务的，取消其试点示范</w:t>
      </w:r>
    </w:p>
    <w:p>
      <w:pPr>
        <w:spacing w:after="0" w:line="240" w:lineRule="auto"/>
        <w:jc w:val="left"/>
        <w:rPr>
          <w:sz w:val="32"/>
        </w:rPr>
        <w:sectPr>
          <w:pgSz w:w="11900" w:h="16840"/>
          <w:pgMar w:header="0" w:footer="1325" w:top="1600" w:bottom="1520" w:left="1080" w:right="920"/>
        </w:sectPr>
      </w:pPr>
    </w:p>
    <w:p>
      <w:pPr>
        <w:pStyle w:val="BodyText"/>
        <w:spacing w:before="5"/>
        <w:rPr>
          <w:sz w:val="20"/>
        </w:rPr>
      </w:pPr>
    </w:p>
    <w:p>
      <w:pPr>
        <w:pStyle w:val="BodyText"/>
        <w:spacing w:line="326" w:lineRule="auto" w:before="65"/>
        <w:ind w:left="508" w:right="545"/>
        <w:jc w:val="both"/>
      </w:pPr>
      <w:r>
        <w:rPr/>
        <w:t>称号，及申请试点示范的资格。其客户已经按合同要求完成</w:t>
      </w:r>
      <w:r>
        <w:rPr>
          <w:rFonts w:ascii="Times New Roman" w:hAnsi="Times New Roman" w:eastAsia="Times New Roman"/>
        </w:rPr>
        <w:t>“</w:t>
      </w:r>
      <w:r>
        <w:rPr/>
        <w:t>上云上平台</w:t>
      </w:r>
      <w:r>
        <w:rPr>
          <w:rFonts w:ascii="Times New Roman" w:hAnsi="Times New Roman" w:eastAsia="Times New Roman"/>
        </w:rPr>
        <w:t>”</w:t>
      </w:r>
      <w:r>
        <w:rPr/>
        <w:t>的，服务券兑现按照普通企业先到先得的原则处理， 不再享受优先保障。</w:t>
      </w:r>
    </w:p>
    <w:p>
      <w:pPr>
        <w:pStyle w:val="BodyText"/>
        <w:spacing w:before="7"/>
        <w:ind w:left="1151"/>
      </w:pPr>
      <w:r>
        <w:rPr/>
        <w:t>八、管理机构及职责</w:t>
      </w:r>
    </w:p>
    <w:p>
      <w:pPr>
        <w:pStyle w:val="BodyText"/>
        <w:spacing w:line="328" w:lineRule="auto" w:before="149"/>
        <w:ind w:left="508" w:right="384" w:firstLine="640"/>
      </w:pPr>
      <w:r>
        <w:rPr/>
        <w:t>（一</w:t>
      </w:r>
      <w:r>
        <w:rPr>
          <w:spacing w:val="-140"/>
        </w:rPr>
        <w:t>）</w:t>
      </w:r>
      <w:r>
        <w:rPr>
          <w:spacing w:val="-8"/>
        </w:rPr>
        <w:t>省工业和信息化厅负责服务券的政策制定、组织领导、</w:t>
      </w:r>
      <w:r>
        <w:rPr>
          <w:spacing w:val="-13"/>
        </w:rPr>
        <w:t>统筹管理，研究确定实施过程中的有关重大事项，联合有关部门对服务券使用情况进行绩效评价和监督检查等。</w:t>
      </w:r>
    </w:p>
    <w:p>
      <w:pPr>
        <w:pStyle w:val="BodyText"/>
        <w:spacing w:line="328" w:lineRule="auto"/>
        <w:ind w:left="508" w:right="432" w:firstLine="640"/>
      </w:pPr>
      <w:r>
        <w:rPr>
          <w:w w:val="95"/>
        </w:rPr>
        <w:t>省工业和信息化厅委托第三方单位承担服务券的政策宣传、 </w:t>
      </w:r>
      <w:r>
        <w:rPr>
          <w:spacing w:val="-10"/>
        </w:rPr>
        <w:t>应用推广、统计分析、效果评估和</w:t>
      </w:r>
      <w:r>
        <w:rPr>
          <w:rFonts w:ascii="Times New Roman" w:hAnsi="Times New Roman" w:eastAsia="Times New Roman"/>
        </w:rPr>
        <w:t>“</w:t>
      </w:r>
      <w:r>
        <w:rPr/>
        <w:t>服务平台</w:t>
      </w:r>
      <w:r>
        <w:rPr>
          <w:rFonts w:ascii="Times New Roman" w:hAnsi="Times New Roman" w:eastAsia="Times New Roman"/>
          <w:spacing w:val="-3"/>
        </w:rPr>
        <w:t>”</w:t>
      </w:r>
      <w:r>
        <w:rPr/>
        <w:t>的运营维护等日常管理工作。</w:t>
      </w:r>
    </w:p>
    <w:p>
      <w:pPr>
        <w:pStyle w:val="BodyText"/>
        <w:spacing w:line="328" w:lineRule="auto"/>
        <w:ind w:left="508" w:right="545" w:firstLine="640"/>
        <w:jc w:val="both"/>
      </w:pPr>
      <w:r>
        <w:rPr>
          <w:spacing w:val="9"/>
          <w:w w:val="95"/>
        </w:rPr>
        <w:t>（二）</w:t>
      </w:r>
      <w:r>
        <w:rPr>
          <w:spacing w:val="6"/>
          <w:w w:val="95"/>
        </w:rPr>
        <w:t>地市工业和信息化主管部门负责本辖区服务券的发 </w:t>
      </w:r>
      <w:r>
        <w:rPr>
          <w:spacing w:val="-12"/>
          <w:w w:val="95"/>
        </w:rPr>
        <w:t>放、兑现、监督管理等工作。地市工业和信息化主管部门可根据 </w:t>
      </w:r>
      <w:r>
        <w:rPr>
          <w:spacing w:val="-12"/>
        </w:rPr>
        <w:t>实际情况委托第三方单位承担日常管理具体工作。</w:t>
      </w:r>
    </w:p>
    <w:p>
      <w:pPr>
        <w:pStyle w:val="BodyText"/>
        <w:spacing w:line="328" w:lineRule="auto"/>
        <w:ind w:left="508" w:right="547" w:firstLine="640"/>
        <w:jc w:val="both"/>
      </w:pPr>
      <w:r>
        <w:rPr>
          <w:w w:val="95"/>
        </w:rPr>
        <w:t>（三</w:t>
      </w:r>
      <w:r>
        <w:rPr>
          <w:spacing w:val="-116"/>
          <w:w w:val="95"/>
        </w:rPr>
        <w:t>）</w:t>
      </w:r>
      <w:r>
        <w:rPr>
          <w:w w:val="95"/>
        </w:rPr>
        <w:t>省工业和信息化厅会同有关部门定期督促检查服务券 </w:t>
      </w:r>
      <w:r>
        <w:rPr>
          <w:spacing w:val="-11"/>
          <w:w w:val="95"/>
        </w:rPr>
        <w:t>的发放、使用情况，听取意见建议，优化服务流程，提高服务质 </w:t>
      </w:r>
      <w:r>
        <w:rPr>
          <w:spacing w:val="-11"/>
        </w:rPr>
        <w:t>量。</w:t>
      </w:r>
    </w:p>
    <w:p>
      <w:pPr>
        <w:pStyle w:val="BodyText"/>
        <w:spacing w:line="390" w:lineRule="exact"/>
        <w:ind w:left="1149"/>
      </w:pPr>
      <w:r>
        <w:rPr/>
        <w:t>九、本方案未尽细节事宜在服务平台上以通知、指南、说明</w:t>
      </w:r>
    </w:p>
    <w:p>
      <w:pPr>
        <w:pStyle w:val="BodyText"/>
        <w:spacing w:before="149"/>
        <w:ind w:left="508"/>
      </w:pPr>
      <w:r>
        <w:rPr/>
        <w:t>等形式予以明确。本方案由广东省工业和信息化厅负责解释。</w:t>
      </w:r>
    </w:p>
    <w:p>
      <w:pPr>
        <w:pStyle w:val="BodyText"/>
      </w:pPr>
    </w:p>
    <w:p>
      <w:pPr>
        <w:pStyle w:val="BodyText"/>
        <w:spacing w:before="6"/>
        <w:rPr>
          <w:sz w:val="23"/>
        </w:rPr>
      </w:pPr>
    </w:p>
    <w:p>
      <w:pPr>
        <w:pStyle w:val="BodyText"/>
        <w:ind w:left="1149"/>
      </w:pPr>
      <w:r>
        <w:rPr/>
        <w:t>附件：广东省工业企业上云上平台应用产品目录</w:t>
      </w:r>
    </w:p>
    <w:p>
      <w:pPr>
        <w:pStyle w:val="BodyText"/>
        <w:spacing w:before="149"/>
        <w:ind w:left="1946"/>
      </w:pPr>
      <w:r>
        <w:rPr/>
        <w:t>（</w:t>
      </w:r>
      <w:r>
        <w:rPr>
          <w:rFonts w:ascii="Times New Roman" w:eastAsia="Times New Roman"/>
        </w:rPr>
        <w:t>2019 </w:t>
      </w:r>
      <w:r>
        <w:rPr/>
        <w:t>版）</w:t>
      </w:r>
    </w:p>
    <w:p>
      <w:pPr>
        <w:spacing w:after="0"/>
        <w:sectPr>
          <w:pgSz w:w="11900" w:h="16840"/>
          <w:pgMar w:header="0" w:footer="1325" w:top="1600" w:bottom="1520" w:left="1080" w:right="920"/>
        </w:sectPr>
      </w:pPr>
    </w:p>
    <w:p>
      <w:pPr>
        <w:pStyle w:val="BodyText"/>
        <w:rPr>
          <w:sz w:val="20"/>
        </w:rPr>
      </w:pPr>
    </w:p>
    <w:p>
      <w:pPr>
        <w:pStyle w:val="BodyText"/>
        <w:spacing w:before="231"/>
        <w:ind w:left="119"/>
      </w:pPr>
      <w:r>
        <w:rPr/>
        <w:t>附件</w:t>
      </w:r>
    </w:p>
    <w:p>
      <w:pPr>
        <w:spacing w:before="48" w:after="15"/>
        <w:ind w:left="3180" w:right="3659" w:firstLine="0"/>
        <w:jc w:val="center"/>
        <w:rPr>
          <w:rFonts w:ascii="思源黑体 CN Bold" w:eastAsia="思源黑体 CN Bold" w:hint="eastAsia"/>
          <w:b/>
          <w:sz w:val="32"/>
        </w:rPr>
      </w:pPr>
      <w:r>
        <w:rPr>
          <w:rFonts w:ascii="思源黑体 CN Bold" w:eastAsia="思源黑体 CN Bold" w:hint="eastAsia"/>
          <w:b/>
          <w:sz w:val="32"/>
        </w:rPr>
        <w:t>广东省工业企业上云上平台应用产品目录（</w:t>
      </w:r>
      <w:r>
        <w:rPr>
          <w:rFonts w:ascii="Times New Roman" w:eastAsia="Times New Roman"/>
          <w:b/>
          <w:sz w:val="32"/>
        </w:rPr>
        <w:t>2019 </w:t>
      </w:r>
      <w:r>
        <w:rPr>
          <w:rFonts w:ascii="思源黑体 CN Bold" w:eastAsia="思源黑体 CN Bold" w:hint="eastAsia"/>
          <w:b/>
          <w:sz w:val="32"/>
        </w:rPr>
        <w:t>版）</w:t>
      </w: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36"/>
        <w:gridCol w:w="775"/>
        <w:gridCol w:w="1723"/>
        <w:gridCol w:w="5064"/>
        <w:gridCol w:w="3708"/>
        <w:gridCol w:w="994"/>
        <w:gridCol w:w="1167"/>
      </w:tblGrid>
      <w:tr>
        <w:trPr>
          <w:trHeight w:val="663" w:hRule="atLeast"/>
        </w:trPr>
        <w:tc>
          <w:tcPr>
            <w:tcW w:w="636" w:type="dxa"/>
            <w:tcBorders>
              <w:right w:val="single" w:sz="4" w:space="0" w:color="000000"/>
            </w:tcBorders>
          </w:tcPr>
          <w:p>
            <w:pPr>
              <w:pStyle w:val="TableParagraph"/>
              <w:spacing w:line="151" w:lineRule="auto" w:before="19"/>
              <w:ind w:left="210" w:right="192"/>
              <w:rPr>
                <w:rFonts w:ascii="思源黑体 CN Bold" w:eastAsia="思源黑体 CN Bold" w:hint="eastAsia"/>
                <w:b/>
                <w:sz w:val="21"/>
              </w:rPr>
            </w:pPr>
            <w:r>
              <w:rPr>
                <w:rFonts w:ascii="思源黑体 CN Bold" w:eastAsia="思源黑体 CN Bold" w:hint="eastAsia"/>
                <w:b/>
                <w:sz w:val="21"/>
              </w:rPr>
              <w:t>序号</w:t>
            </w:r>
          </w:p>
        </w:tc>
        <w:tc>
          <w:tcPr>
            <w:tcW w:w="775" w:type="dxa"/>
            <w:tcBorders>
              <w:left w:val="single" w:sz="4" w:space="0" w:color="000000"/>
              <w:right w:val="single" w:sz="4" w:space="0" w:color="000000"/>
            </w:tcBorders>
          </w:tcPr>
          <w:p>
            <w:pPr>
              <w:pStyle w:val="TableParagraph"/>
              <w:spacing w:line="151" w:lineRule="auto" w:before="19"/>
              <w:ind w:left="184" w:right="155"/>
              <w:rPr>
                <w:rFonts w:ascii="思源黑体 CN Bold" w:eastAsia="思源黑体 CN Bold" w:hint="eastAsia"/>
                <w:b/>
                <w:sz w:val="21"/>
              </w:rPr>
            </w:pPr>
            <w:r>
              <w:rPr>
                <w:rFonts w:ascii="思源黑体 CN Bold" w:eastAsia="思源黑体 CN Bold" w:hint="eastAsia"/>
                <w:b/>
                <w:sz w:val="21"/>
              </w:rPr>
              <w:t>一级目录</w:t>
            </w:r>
          </w:p>
        </w:tc>
        <w:tc>
          <w:tcPr>
            <w:tcW w:w="1723" w:type="dxa"/>
            <w:tcBorders>
              <w:left w:val="single" w:sz="4" w:space="0" w:color="000000"/>
              <w:right w:val="single" w:sz="4" w:space="0" w:color="000000"/>
            </w:tcBorders>
          </w:tcPr>
          <w:p>
            <w:pPr>
              <w:pStyle w:val="TableParagraph"/>
              <w:spacing w:before="43"/>
              <w:ind w:left="220" w:right="191"/>
              <w:jc w:val="center"/>
              <w:rPr>
                <w:rFonts w:ascii="思源黑体 CN Bold" w:eastAsia="思源黑体 CN Bold" w:hint="eastAsia"/>
                <w:b/>
                <w:sz w:val="21"/>
              </w:rPr>
            </w:pPr>
            <w:r>
              <w:rPr>
                <w:rFonts w:ascii="思源黑体 CN Bold" w:eastAsia="思源黑体 CN Bold" w:hint="eastAsia"/>
                <w:b/>
                <w:sz w:val="21"/>
              </w:rPr>
              <w:t>二级目录</w:t>
            </w:r>
          </w:p>
        </w:tc>
        <w:tc>
          <w:tcPr>
            <w:tcW w:w="5064" w:type="dxa"/>
            <w:tcBorders>
              <w:left w:val="single" w:sz="4" w:space="0" w:color="000000"/>
              <w:right w:val="single" w:sz="4" w:space="0" w:color="000000"/>
            </w:tcBorders>
          </w:tcPr>
          <w:p>
            <w:pPr>
              <w:pStyle w:val="TableParagraph"/>
              <w:spacing w:before="43"/>
              <w:ind w:left="1891" w:right="1862"/>
              <w:jc w:val="center"/>
              <w:rPr>
                <w:rFonts w:ascii="思源黑体 CN Bold" w:eastAsia="思源黑体 CN Bold" w:hint="eastAsia"/>
                <w:b/>
                <w:sz w:val="21"/>
              </w:rPr>
            </w:pPr>
            <w:r>
              <w:rPr>
                <w:rFonts w:ascii="思源黑体 CN Bold" w:eastAsia="思源黑体 CN Bold" w:hint="eastAsia"/>
                <w:b/>
                <w:sz w:val="21"/>
              </w:rPr>
              <w:t>主要应用场景</w:t>
            </w:r>
          </w:p>
        </w:tc>
        <w:tc>
          <w:tcPr>
            <w:tcW w:w="3708" w:type="dxa"/>
            <w:tcBorders>
              <w:left w:val="single" w:sz="4" w:space="0" w:color="000000"/>
              <w:right w:val="single" w:sz="4" w:space="0" w:color="000000"/>
            </w:tcBorders>
          </w:tcPr>
          <w:p>
            <w:pPr>
              <w:pStyle w:val="TableParagraph"/>
              <w:spacing w:before="43"/>
              <w:ind w:left="1231"/>
              <w:rPr>
                <w:rFonts w:ascii="思源黑体 CN Bold" w:eastAsia="思源黑体 CN Bold" w:hint="eastAsia"/>
                <w:b/>
                <w:sz w:val="21"/>
              </w:rPr>
            </w:pPr>
            <w:r>
              <w:rPr>
                <w:rFonts w:ascii="思源黑体 CN Bold" w:eastAsia="思源黑体 CN Bold" w:hint="eastAsia"/>
                <w:b/>
                <w:sz w:val="21"/>
              </w:rPr>
              <w:t>主要功能模块</w:t>
            </w:r>
          </w:p>
        </w:tc>
        <w:tc>
          <w:tcPr>
            <w:tcW w:w="994" w:type="dxa"/>
            <w:tcBorders>
              <w:left w:val="single" w:sz="4" w:space="0" w:color="000000"/>
              <w:right w:val="single" w:sz="4" w:space="0" w:color="000000"/>
            </w:tcBorders>
          </w:tcPr>
          <w:p>
            <w:pPr>
              <w:pStyle w:val="TableParagraph"/>
              <w:spacing w:line="151" w:lineRule="auto" w:before="19"/>
              <w:ind w:left="295" w:right="264"/>
              <w:rPr>
                <w:rFonts w:ascii="思源黑体 CN Bold" w:eastAsia="思源黑体 CN Bold" w:hint="eastAsia"/>
                <w:b/>
                <w:sz w:val="21"/>
              </w:rPr>
            </w:pPr>
            <w:r>
              <w:rPr>
                <w:rFonts w:ascii="思源黑体 CN Bold" w:eastAsia="思源黑体 CN Bold" w:hint="eastAsia"/>
                <w:b/>
                <w:sz w:val="21"/>
              </w:rPr>
              <w:t>奖补上限</w:t>
            </w:r>
          </w:p>
        </w:tc>
        <w:tc>
          <w:tcPr>
            <w:tcW w:w="1167" w:type="dxa"/>
            <w:tcBorders>
              <w:left w:val="single" w:sz="4" w:space="0" w:color="000000"/>
            </w:tcBorders>
          </w:tcPr>
          <w:p>
            <w:pPr>
              <w:pStyle w:val="TableParagraph"/>
              <w:spacing w:before="43"/>
              <w:ind w:left="381"/>
              <w:rPr>
                <w:rFonts w:ascii="思源黑体 CN Bold" w:eastAsia="思源黑体 CN Bold" w:hint="eastAsia"/>
                <w:b/>
                <w:sz w:val="21"/>
              </w:rPr>
            </w:pPr>
            <w:r>
              <w:rPr>
                <w:rFonts w:ascii="思源黑体 CN Bold" w:eastAsia="思源黑体 CN Bold" w:hint="eastAsia"/>
                <w:b/>
                <w:sz w:val="21"/>
              </w:rPr>
              <w:t>备注</w:t>
            </w:r>
          </w:p>
        </w:tc>
      </w:tr>
      <w:tr>
        <w:trPr>
          <w:trHeight w:val="283" w:hRule="atLeast"/>
        </w:trPr>
        <w:tc>
          <w:tcPr>
            <w:tcW w:w="636" w:type="dxa"/>
            <w:tcBorders>
              <w:bottom w:val="nil"/>
              <w:right w:val="single" w:sz="4" w:space="0" w:color="000000"/>
            </w:tcBorders>
          </w:tcPr>
          <w:p>
            <w:pPr>
              <w:pStyle w:val="TableParagraph"/>
              <w:rPr>
                <w:rFonts w:ascii="Times New Roman"/>
                <w:sz w:val="20"/>
              </w:rPr>
            </w:pPr>
          </w:p>
        </w:tc>
        <w:tc>
          <w:tcPr>
            <w:tcW w:w="775" w:type="dxa"/>
            <w:tcBorders>
              <w:left w:val="single" w:sz="4" w:space="0" w:color="000000"/>
              <w:bottom w:val="nil"/>
              <w:right w:val="single" w:sz="4" w:space="0" w:color="000000"/>
            </w:tcBorders>
          </w:tcPr>
          <w:p>
            <w:pPr>
              <w:pStyle w:val="TableParagraph"/>
              <w:rPr>
                <w:rFonts w:ascii="Times New Roman"/>
                <w:sz w:val="20"/>
              </w:rPr>
            </w:pPr>
          </w:p>
        </w:tc>
        <w:tc>
          <w:tcPr>
            <w:tcW w:w="1723" w:type="dxa"/>
            <w:tcBorders>
              <w:left w:val="single" w:sz="4" w:space="0" w:color="000000"/>
              <w:bottom w:val="nil"/>
              <w:right w:val="single" w:sz="4" w:space="0" w:color="000000"/>
            </w:tcBorders>
          </w:tcPr>
          <w:p>
            <w:pPr>
              <w:pStyle w:val="TableParagraph"/>
              <w:rPr>
                <w:rFonts w:ascii="Times New Roman"/>
                <w:sz w:val="20"/>
              </w:rPr>
            </w:pPr>
          </w:p>
        </w:tc>
        <w:tc>
          <w:tcPr>
            <w:tcW w:w="5064" w:type="dxa"/>
            <w:tcBorders>
              <w:left w:val="single" w:sz="4" w:space="0" w:color="000000"/>
              <w:bottom w:val="nil"/>
              <w:right w:val="single" w:sz="4" w:space="0" w:color="000000"/>
            </w:tcBorders>
          </w:tcPr>
          <w:p>
            <w:pPr>
              <w:pStyle w:val="TableParagraph"/>
              <w:spacing w:line="246" w:lineRule="exact" w:before="17"/>
              <w:ind w:left="117"/>
              <w:rPr>
                <w:sz w:val="21"/>
              </w:rPr>
            </w:pPr>
            <w:r>
              <w:rPr>
                <w:sz w:val="21"/>
              </w:rPr>
              <w:t>面向电气、机械等领域二维、三维及功能建模、绘图</w:t>
            </w:r>
          </w:p>
        </w:tc>
        <w:tc>
          <w:tcPr>
            <w:tcW w:w="3708" w:type="dxa"/>
            <w:vMerge w:val="restart"/>
            <w:tcBorders>
              <w:left w:val="single" w:sz="4" w:space="0" w:color="000000"/>
              <w:bottom w:val="single" w:sz="4" w:space="0" w:color="000000"/>
              <w:right w:val="single" w:sz="4" w:space="0" w:color="000000"/>
            </w:tcBorders>
          </w:tcPr>
          <w:p>
            <w:pPr>
              <w:pStyle w:val="TableParagraph"/>
              <w:spacing w:line="242" w:lineRule="auto" w:before="154"/>
              <w:ind w:left="117" w:right="81"/>
              <w:jc w:val="both"/>
              <w:rPr>
                <w:sz w:val="21"/>
              </w:rPr>
            </w:pPr>
            <w:r>
              <w:rPr>
                <w:spacing w:val="-11"/>
                <w:sz w:val="21"/>
              </w:rPr>
              <w:t>配备电气、机械标准件库，支持企业自</w:t>
            </w:r>
            <w:r>
              <w:rPr>
                <w:spacing w:val="-12"/>
                <w:sz w:val="21"/>
              </w:rPr>
              <w:t>制库；云上二维、三维等建模绘图，项</w:t>
            </w:r>
            <w:r>
              <w:rPr>
                <w:spacing w:val="-10"/>
                <w:sz w:val="21"/>
              </w:rPr>
              <w:t>目组多人远程协同设计；云上 </w:t>
            </w:r>
            <w:r>
              <w:rPr>
                <w:rFonts w:ascii="Times New Roman" w:eastAsia="Times New Roman"/>
                <w:sz w:val="21"/>
              </w:rPr>
              <w:t>CAD </w:t>
            </w:r>
            <w:r>
              <w:rPr>
                <w:sz w:val="21"/>
              </w:rPr>
              <w:t>图</w:t>
            </w:r>
            <w:r>
              <w:rPr>
                <w:spacing w:val="-3"/>
                <w:sz w:val="21"/>
              </w:rPr>
              <w:t>文档管理及安全权限设置。</w:t>
            </w:r>
          </w:p>
        </w:tc>
        <w:tc>
          <w:tcPr>
            <w:tcW w:w="994" w:type="dxa"/>
            <w:tcBorders>
              <w:left w:val="single" w:sz="4" w:space="0" w:color="000000"/>
              <w:bottom w:val="nil"/>
              <w:right w:val="single" w:sz="4" w:space="0" w:color="000000"/>
            </w:tcBorders>
          </w:tcPr>
          <w:p>
            <w:pPr>
              <w:pStyle w:val="TableParagraph"/>
              <w:rPr>
                <w:rFonts w:ascii="Times New Roman"/>
                <w:sz w:val="20"/>
              </w:rPr>
            </w:pPr>
          </w:p>
        </w:tc>
        <w:tc>
          <w:tcPr>
            <w:tcW w:w="1167" w:type="dxa"/>
            <w:vMerge w:val="restart"/>
            <w:tcBorders>
              <w:left w:val="single" w:sz="4" w:space="0" w:color="000000"/>
              <w:bottom w:val="single" w:sz="4" w:space="0" w:color="000000"/>
            </w:tcBorders>
          </w:tcPr>
          <w:p>
            <w:pPr>
              <w:pStyle w:val="TableParagraph"/>
              <w:rPr>
                <w:rFonts w:ascii="Times New Roman"/>
                <w:sz w:val="22"/>
              </w:rPr>
            </w:pPr>
          </w:p>
        </w:tc>
      </w:tr>
      <w:tr>
        <w:trPr>
          <w:trHeight w:val="256" w:hRule="atLeast"/>
        </w:trPr>
        <w:tc>
          <w:tcPr>
            <w:tcW w:w="636" w:type="dxa"/>
            <w:tcBorders>
              <w:top w:val="nil"/>
              <w:bottom w:val="nil"/>
              <w:right w:val="single" w:sz="4" w:space="0" w:color="000000"/>
            </w:tcBorders>
          </w:tcPr>
          <w:p>
            <w:pPr>
              <w:pStyle w:val="TableParagraph"/>
              <w:rPr>
                <w:rFonts w:ascii="Times New Roman"/>
                <w:sz w:val="18"/>
              </w:rPr>
            </w:pPr>
          </w:p>
        </w:tc>
        <w:tc>
          <w:tcPr>
            <w:tcW w:w="775" w:type="dxa"/>
            <w:tcBorders>
              <w:top w:val="nil"/>
              <w:left w:val="single" w:sz="4" w:space="0" w:color="000000"/>
              <w:bottom w:val="nil"/>
              <w:right w:val="single" w:sz="4" w:space="0" w:color="000000"/>
            </w:tcBorders>
          </w:tcPr>
          <w:p>
            <w:pPr>
              <w:pStyle w:val="TableParagraph"/>
              <w:rPr>
                <w:rFonts w:ascii="Times New Roman"/>
                <w:sz w:val="18"/>
              </w:rPr>
            </w:pPr>
          </w:p>
        </w:tc>
        <w:tc>
          <w:tcPr>
            <w:tcW w:w="1723" w:type="dxa"/>
            <w:tcBorders>
              <w:top w:val="nil"/>
              <w:left w:val="single" w:sz="4" w:space="0" w:color="000000"/>
              <w:bottom w:val="nil"/>
              <w:right w:val="single" w:sz="4" w:space="0" w:color="000000"/>
            </w:tcBorders>
          </w:tcPr>
          <w:p>
            <w:pPr>
              <w:pStyle w:val="TableParagraph"/>
              <w:rPr>
                <w:rFonts w:ascii="Times New Roman"/>
                <w:sz w:val="18"/>
              </w:rPr>
            </w:pPr>
          </w:p>
        </w:tc>
        <w:tc>
          <w:tcPr>
            <w:tcW w:w="5064" w:type="dxa"/>
            <w:tcBorders>
              <w:top w:val="nil"/>
              <w:left w:val="single" w:sz="4" w:space="0" w:color="000000"/>
              <w:bottom w:val="nil"/>
              <w:right w:val="single" w:sz="4" w:space="0" w:color="000000"/>
            </w:tcBorders>
          </w:tcPr>
          <w:p>
            <w:pPr>
              <w:pStyle w:val="TableParagraph"/>
              <w:spacing w:line="237" w:lineRule="exact"/>
              <w:ind w:left="117"/>
              <w:rPr>
                <w:sz w:val="21"/>
              </w:rPr>
            </w:pPr>
            <w:r>
              <w:rPr>
                <w:sz w:val="21"/>
              </w:rPr>
              <w:t>等设计需求，改善传统纸质设计图文档带来的协同度</w:t>
            </w:r>
          </w:p>
        </w:tc>
        <w:tc>
          <w:tcPr>
            <w:tcW w:w="3708" w:type="dxa"/>
            <w:vMerge/>
            <w:tcBorders>
              <w:top w:val="nil"/>
              <w:left w:val="single" w:sz="4" w:space="0" w:color="000000"/>
              <w:bottom w:val="single" w:sz="4" w:space="0" w:color="000000"/>
              <w:right w:val="single" w:sz="4" w:space="0" w:color="000000"/>
            </w:tcBorders>
          </w:tcPr>
          <w:p>
            <w:pPr>
              <w:rPr>
                <w:sz w:val="2"/>
                <w:szCs w:val="2"/>
              </w:rPr>
            </w:pPr>
          </w:p>
        </w:tc>
        <w:tc>
          <w:tcPr>
            <w:tcW w:w="994" w:type="dxa"/>
            <w:tcBorders>
              <w:top w:val="nil"/>
              <w:left w:val="single" w:sz="4" w:space="0" w:color="000000"/>
              <w:bottom w:val="nil"/>
              <w:right w:val="single" w:sz="4" w:space="0" w:color="000000"/>
            </w:tcBorders>
          </w:tcPr>
          <w:p>
            <w:pPr>
              <w:pStyle w:val="TableParagraph"/>
              <w:rPr>
                <w:rFonts w:ascii="Times New Roman"/>
                <w:sz w:val="18"/>
              </w:rPr>
            </w:pPr>
          </w:p>
        </w:tc>
        <w:tc>
          <w:tcPr>
            <w:tcW w:w="1167" w:type="dxa"/>
            <w:vMerge/>
            <w:tcBorders>
              <w:top w:val="nil"/>
              <w:left w:val="single" w:sz="4" w:space="0" w:color="000000"/>
              <w:bottom w:val="single" w:sz="4" w:space="0" w:color="000000"/>
            </w:tcBorders>
          </w:tcPr>
          <w:p>
            <w:pPr>
              <w:rPr>
                <w:sz w:val="2"/>
                <w:szCs w:val="2"/>
              </w:rPr>
            </w:pPr>
          </w:p>
        </w:tc>
      </w:tr>
      <w:tr>
        <w:trPr>
          <w:trHeight w:val="276" w:hRule="atLeast"/>
        </w:trPr>
        <w:tc>
          <w:tcPr>
            <w:tcW w:w="636" w:type="dxa"/>
            <w:tcBorders>
              <w:top w:val="nil"/>
              <w:bottom w:val="nil"/>
              <w:right w:val="single" w:sz="4" w:space="0" w:color="000000"/>
            </w:tcBorders>
          </w:tcPr>
          <w:p>
            <w:pPr>
              <w:pStyle w:val="TableParagraph"/>
              <w:spacing w:before="11"/>
              <w:ind w:left="107"/>
              <w:rPr>
                <w:rFonts w:ascii="Times New Roman"/>
                <w:sz w:val="21"/>
              </w:rPr>
            </w:pPr>
            <w:r>
              <w:rPr>
                <w:rFonts w:ascii="Times New Roman"/>
                <w:w w:val="100"/>
                <w:sz w:val="21"/>
              </w:rPr>
              <w:t>1</w:t>
            </w:r>
          </w:p>
        </w:tc>
        <w:tc>
          <w:tcPr>
            <w:tcW w:w="775" w:type="dxa"/>
            <w:tcBorders>
              <w:top w:val="nil"/>
              <w:left w:val="single" w:sz="4" w:space="0" w:color="000000"/>
              <w:bottom w:val="nil"/>
              <w:right w:val="single" w:sz="4" w:space="0" w:color="000000"/>
            </w:tcBorders>
          </w:tcPr>
          <w:p>
            <w:pPr>
              <w:pStyle w:val="TableParagraph"/>
              <w:rPr>
                <w:rFonts w:ascii="Times New Roman"/>
                <w:sz w:val="20"/>
              </w:rPr>
            </w:pPr>
          </w:p>
        </w:tc>
        <w:tc>
          <w:tcPr>
            <w:tcW w:w="1723" w:type="dxa"/>
            <w:tcBorders>
              <w:top w:val="nil"/>
              <w:left w:val="single" w:sz="4" w:space="0" w:color="000000"/>
              <w:bottom w:val="nil"/>
              <w:right w:val="single" w:sz="4" w:space="0" w:color="000000"/>
            </w:tcBorders>
          </w:tcPr>
          <w:p>
            <w:pPr>
              <w:pStyle w:val="TableParagraph"/>
              <w:spacing w:line="254" w:lineRule="exact" w:before="2"/>
              <w:ind w:left="220" w:right="191"/>
              <w:jc w:val="center"/>
              <w:rPr>
                <w:sz w:val="21"/>
              </w:rPr>
            </w:pPr>
            <w:r>
              <w:rPr>
                <w:sz w:val="21"/>
              </w:rPr>
              <w:t>通用设计工具</w:t>
            </w:r>
          </w:p>
        </w:tc>
        <w:tc>
          <w:tcPr>
            <w:tcW w:w="5064" w:type="dxa"/>
            <w:tcBorders>
              <w:top w:val="nil"/>
              <w:left w:val="single" w:sz="4" w:space="0" w:color="000000"/>
              <w:bottom w:val="nil"/>
              <w:right w:val="single" w:sz="4" w:space="0" w:color="000000"/>
            </w:tcBorders>
          </w:tcPr>
          <w:p>
            <w:pPr>
              <w:pStyle w:val="TableParagraph"/>
              <w:spacing w:line="254" w:lineRule="exact" w:before="2"/>
              <w:ind w:left="117"/>
              <w:rPr>
                <w:sz w:val="21"/>
              </w:rPr>
            </w:pPr>
            <w:r>
              <w:rPr>
                <w:sz w:val="21"/>
              </w:rPr>
              <w:t>低、研发数据不一致等问题，运用云端计算资源提高</w:t>
            </w:r>
          </w:p>
        </w:tc>
        <w:tc>
          <w:tcPr>
            <w:tcW w:w="3708" w:type="dxa"/>
            <w:vMerge/>
            <w:tcBorders>
              <w:top w:val="nil"/>
              <w:left w:val="single" w:sz="4" w:space="0" w:color="000000"/>
              <w:bottom w:val="single" w:sz="4" w:space="0" w:color="000000"/>
              <w:right w:val="single" w:sz="4" w:space="0" w:color="000000"/>
            </w:tcBorders>
          </w:tcPr>
          <w:p>
            <w:pPr>
              <w:rPr>
                <w:sz w:val="2"/>
                <w:szCs w:val="2"/>
              </w:rPr>
            </w:pPr>
          </w:p>
        </w:tc>
        <w:tc>
          <w:tcPr>
            <w:tcW w:w="994" w:type="dxa"/>
            <w:tcBorders>
              <w:top w:val="nil"/>
              <w:left w:val="single" w:sz="4" w:space="0" w:color="000000"/>
              <w:bottom w:val="nil"/>
              <w:right w:val="single" w:sz="4" w:space="0" w:color="000000"/>
            </w:tcBorders>
          </w:tcPr>
          <w:p>
            <w:pPr>
              <w:pStyle w:val="TableParagraph"/>
              <w:spacing w:line="254" w:lineRule="exact" w:before="2"/>
              <w:ind w:left="117"/>
              <w:rPr>
                <w:sz w:val="21"/>
              </w:rPr>
            </w:pPr>
            <w:r>
              <w:rPr>
                <w:rFonts w:ascii="Times New Roman" w:eastAsia="Times New Roman"/>
                <w:sz w:val="21"/>
              </w:rPr>
              <w:t>8 </w:t>
            </w:r>
            <w:r>
              <w:rPr>
                <w:sz w:val="21"/>
              </w:rPr>
              <w:t>万元</w:t>
            </w:r>
          </w:p>
        </w:tc>
        <w:tc>
          <w:tcPr>
            <w:tcW w:w="1167" w:type="dxa"/>
            <w:vMerge/>
            <w:tcBorders>
              <w:top w:val="nil"/>
              <w:left w:val="single" w:sz="4" w:space="0" w:color="000000"/>
              <w:bottom w:val="single" w:sz="4" w:space="0" w:color="000000"/>
            </w:tcBorders>
          </w:tcPr>
          <w:p>
            <w:pPr>
              <w:rPr>
                <w:sz w:val="2"/>
                <w:szCs w:val="2"/>
              </w:rPr>
            </w:pPr>
          </w:p>
        </w:tc>
      </w:tr>
      <w:tr>
        <w:trPr>
          <w:trHeight w:val="254" w:hRule="atLeast"/>
        </w:trPr>
        <w:tc>
          <w:tcPr>
            <w:tcW w:w="636" w:type="dxa"/>
            <w:tcBorders>
              <w:top w:val="nil"/>
              <w:bottom w:val="nil"/>
              <w:right w:val="single" w:sz="4" w:space="0" w:color="000000"/>
            </w:tcBorders>
          </w:tcPr>
          <w:p>
            <w:pPr>
              <w:pStyle w:val="TableParagraph"/>
              <w:rPr>
                <w:rFonts w:ascii="Times New Roman"/>
                <w:sz w:val="18"/>
              </w:rPr>
            </w:pPr>
          </w:p>
        </w:tc>
        <w:tc>
          <w:tcPr>
            <w:tcW w:w="775" w:type="dxa"/>
            <w:tcBorders>
              <w:top w:val="nil"/>
              <w:left w:val="single" w:sz="4" w:space="0" w:color="000000"/>
              <w:bottom w:val="nil"/>
              <w:right w:val="single" w:sz="4" w:space="0" w:color="000000"/>
            </w:tcBorders>
          </w:tcPr>
          <w:p>
            <w:pPr>
              <w:pStyle w:val="TableParagraph"/>
              <w:rPr>
                <w:rFonts w:ascii="Times New Roman"/>
                <w:sz w:val="18"/>
              </w:rPr>
            </w:pPr>
          </w:p>
        </w:tc>
        <w:tc>
          <w:tcPr>
            <w:tcW w:w="1723" w:type="dxa"/>
            <w:tcBorders>
              <w:top w:val="nil"/>
              <w:left w:val="single" w:sz="4" w:space="0" w:color="000000"/>
              <w:bottom w:val="nil"/>
              <w:right w:val="single" w:sz="4" w:space="0" w:color="000000"/>
            </w:tcBorders>
          </w:tcPr>
          <w:p>
            <w:pPr>
              <w:pStyle w:val="TableParagraph"/>
              <w:rPr>
                <w:rFonts w:ascii="Times New Roman"/>
                <w:sz w:val="18"/>
              </w:rPr>
            </w:pPr>
          </w:p>
        </w:tc>
        <w:tc>
          <w:tcPr>
            <w:tcW w:w="5064" w:type="dxa"/>
            <w:tcBorders>
              <w:top w:val="nil"/>
              <w:left w:val="single" w:sz="4" w:space="0" w:color="000000"/>
              <w:bottom w:val="nil"/>
              <w:right w:val="single" w:sz="4" w:space="0" w:color="000000"/>
            </w:tcBorders>
          </w:tcPr>
          <w:p>
            <w:pPr>
              <w:pStyle w:val="TableParagraph"/>
              <w:spacing w:line="234" w:lineRule="exact"/>
              <w:ind w:left="117"/>
              <w:rPr>
                <w:sz w:val="21"/>
              </w:rPr>
            </w:pPr>
            <w:r>
              <w:rPr>
                <w:sz w:val="21"/>
              </w:rPr>
              <w:t>企业设计效率、减轻设计人员的劳动强度、支持设计</w:t>
            </w:r>
          </w:p>
        </w:tc>
        <w:tc>
          <w:tcPr>
            <w:tcW w:w="3708" w:type="dxa"/>
            <w:vMerge/>
            <w:tcBorders>
              <w:top w:val="nil"/>
              <w:left w:val="single" w:sz="4" w:space="0" w:color="000000"/>
              <w:bottom w:val="single" w:sz="4" w:space="0" w:color="000000"/>
              <w:right w:val="single" w:sz="4" w:space="0" w:color="000000"/>
            </w:tcBorders>
          </w:tcPr>
          <w:p>
            <w:pPr>
              <w:rPr>
                <w:sz w:val="2"/>
                <w:szCs w:val="2"/>
              </w:rPr>
            </w:pPr>
          </w:p>
        </w:tc>
        <w:tc>
          <w:tcPr>
            <w:tcW w:w="994" w:type="dxa"/>
            <w:tcBorders>
              <w:top w:val="nil"/>
              <w:left w:val="single" w:sz="4" w:space="0" w:color="000000"/>
              <w:bottom w:val="nil"/>
              <w:right w:val="single" w:sz="4" w:space="0" w:color="000000"/>
            </w:tcBorders>
          </w:tcPr>
          <w:p>
            <w:pPr>
              <w:pStyle w:val="TableParagraph"/>
              <w:rPr>
                <w:rFonts w:ascii="Times New Roman"/>
                <w:sz w:val="18"/>
              </w:rPr>
            </w:pPr>
          </w:p>
        </w:tc>
        <w:tc>
          <w:tcPr>
            <w:tcW w:w="1167" w:type="dxa"/>
            <w:vMerge/>
            <w:tcBorders>
              <w:top w:val="nil"/>
              <w:left w:val="single" w:sz="4" w:space="0" w:color="000000"/>
              <w:bottom w:val="single" w:sz="4" w:space="0" w:color="000000"/>
            </w:tcBorders>
          </w:tcPr>
          <w:p>
            <w:pPr>
              <w:rPr>
                <w:sz w:val="2"/>
                <w:szCs w:val="2"/>
              </w:rPr>
            </w:pPr>
          </w:p>
        </w:tc>
      </w:tr>
      <w:tr>
        <w:trPr>
          <w:trHeight w:val="405" w:hRule="atLeast"/>
        </w:trPr>
        <w:tc>
          <w:tcPr>
            <w:tcW w:w="636" w:type="dxa"/>
            <w:tcBorders>
              <w:top w:val="nil"/>
              <w:bottom w:val="single" w:sz="4" w:space="0" w:color="000000"/>
              <w:right w:val="single" w:sz="4" w:space="0" w:color="000000"/>
            </w:tcBorders>
          </w:tcPr>
          <w:p>
            <w:pPr>
              <w:pStyle w:val="TableParagraph"/>
              <w:rPr>
                <w:rFonts w:ascii="Times New Roman"/>
                <w:sz w:val="22"/>
              </w:rPr>
            </w:pPr>
          </w:p>
        </w:tc>
        <w:tc>
          <w:tcPr>
            <w:tcW w:w="775" w:type="dxa"/>
            <w:tcBorders>
              <w:top w:val="nil"/>
              <w:left w:val="single" w:sz="4" w:space="0" w:color="000000"/>
              <w:bottom w:val="nil"/>
              <w:right w:val="single" w:sz="4" w:space="0" w:color="000000"/>
            </w:tcBorders>
          </w:tcPr>
          <w:p>
            <w:pPr>
              <w:pStyle w:val="TableParagraph"/>
              <w:rPr>
                <w:rFonts w:ascii="Times New Roman"/>
                <w:sz w:val="22"/>
              </w:rPr>
            </w:pPr>
          </w:p>
        </w:tc>
        <w:tc>
          <w:tcPr>
            <w:tcW w:w="1723" w:type="dxa"/>
            <w:tcBorders>
              <w:top w:val="nil"/>
              <w:left w:val="single" w:sz="4" w:space="0" w:color="000000"/>
              <w:bottom w:val="single" w:sz="4" w:space="0" w:color="000000"/>
              <w:right w:val="single" w:sz="4" w:space="0" w:color="000000"/>
            </w:tcBorders>
          </w:tcPr>
          <w:p>
            <w:pPr>
              <w:pStyle w:val="TableParagraph"/>
              <w:rPr>
                <w:rFonts w:ascii="Times New Roman"/>
                <w:sz w:val="22"/>
              </w:rPr>
            </w:pPr>
          </w:p>
        </w:tc>
        <w:tc>
          <w:tcPr>
            <w:tcW w:w="5064" w:type="dxa"/>
            <w:tcBorders>
              <w:top w:val="nil"/>
              <w:left w:val="single" w:sz="4" w:space="0" w:color="000000"/>
              <w:bottom w:val="single" w:sz="4" w:space="0" w:color="000000"/>
              <w:right w:val="single" w:sz="4" w:space="0" w:color="000000"/>
            </w:tcBorders>
          </w:tcPr>
          <w:p>
            <w:pPr>
              <w:pStyle w:val="TableParagraph"/>
              <w:spacing w:line="266" w:lineRule="exact"/>
              <w:ind w:left="117" w:right="-29"/>
              <w:rPr>
                <w:sz w:val="21"/>
              </w:rPr>
            </w:pPr>
            <w:r>
              <w:rPr>
                <w:spacing w:val="-11"/>
                <w:sz w:val="21"/>
              </w:rPr>
              <w:t>方案优化和质量问题追溯、提升企业设计标准化水平。</w:t>
            </w:r>
          </w:p>
        </w:tc>
        <w:tc>
          <w:tcPr>
            <w:tcW w:w="3708" w:type="dxa"/>
            <w:vMerge/>
            <w:tcBorders>
              <w:top w:val="nil"/>
              <w:left w:val="single" w:sz="4" w:space="0" w:color="000000"/>
              <w:bottom w:val="single" w:sz="4" w:space="0" w:color="000000"/>
              <w:right w:val="single" w:sz="4" w:space="0" w:color="000000"/>
            </w:tcBorders>
          </w:tcPr>
          <w:p>
            <w:pPr>
              <w:rPr>
                <w:sz w:val="2"/>
                <w:szCs w:val="2"/>
              </w:rPr>
            </w:pPr>
          </w:p>
        </w:tc>
        <w:tc>
          <w:tcPr>
            <w:tcW w:w="994" w:type="dxa"/>
            <w:tcBorders>
              <w:top w:val="nil"/>
              <w:left w:val="single" w:sz="4" w:space="0" w:color="000000"/>
              <w:bottom w:val="single" w:sz="4" w:space="0" w:color="000000"/>
              <w:right w:val="single" w:sz="4" w:space="0" w:color="000000"/>
            </w:tcBorders>
          </w:tcPr>
          <w:p>
            <w:pPr>
              <w:pStyle w:val="TableParagraph"/>
              <w:rPr>
                <w:rFonts w:ascii="Times New Roman"/>
                <w:sz w:val="22"/>
              </w:rPr>
            </w:pPr>
          </w:p>
        </w:tc>
        <w:tc>
          <w:tcPr>
            <w:tcW w:w="1167" w:type="dxa"/>
            <w:vMerge/>
            <w:tcBorders>
              <w:top w:val="nil"/>
              <w:left w:val="single" w:sz="4" w:space="0" w:color="000000"/>
              <w:bottom w:val="single" w:sz="4" w:space="0" w:color="000000"/>
            </w:tcBorders>
          </w:tcPr>
          <w:p>
            <w:pPr>
              <w:rPr>
                <w:sz w:val="2"/>
                <w:szCs w:val="2"/>
              </w:rPr>
            </w:pPr>
          </w:p>
        </w:tc>
      </w:tr>
      <w:tr>
        <w:trPr>
          <w:trHeight w:val="265" w:hRule="atLeast"/>
        </w:trPr>
        <w:tc>
          <w:tcPr>
            <w:tcW w:w="636" w:type="dxa"/>
            <w:tcBorders>
              <w:top w:val="single" w:sz="4" w:space="0" w:color="000000"/>
              <w:bottom w:val="nil"/>
              <w:right w:val="single" w:sz="4" w:space="0" w:color="000000"/>
            </w:tcBorders>
          </w:tcPr>
          <w:p>
            <w:pPr>
              <w:pStyle w:val="TableParagraph"/>
              <w:rPr>
                <w:rFonts w:ascii="Times New Roman"/>
                <w:sz w:val="18"/>
              </w:rPr>
            </w:pPr>
          </w:p>
        </w:tc>
        <w:tc>
          <w:tcPr>
            <w:tcW w:w="775" w:type="dxa"/>
            <w:tcBorders>
              <w:top w:val="nil"/>
              <w:left w:val="single" w:sz="4" w:space="0" w:color="000000"/>
              <w:bottom w:val="nil"/>
              <w:right w:val="single" w:sz="4" w:space="0" w:color="000000"/>
            </w:tcBorders>
          </w:tcPr>
          <w:p>
            <w:pPr>
              <w:pStyle w:val="TableParagraph"/>
              <w:rPr>
                <w:rFonts w:ascii="Times New Roman"/>
                <w:sz w:val="18"/>
              </w:rPr>
            </w:pPr>
          </w:p>
        </w:tc>
        <w:tc>
          <w:tcPr>
            <w:tcW w:w="1723"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5064" w:type="dxa"/>
            <w:tcBorders>
              <w:top w:val="single" w:sz="4" w:space="0" w:color="000000"/>
              <w:left w:val="single" w:sz="4" w:space="0" w:color="000000"/>
              <w:bottom w:val="nil"/>
              <w:right w:val="single" w:sz="4" w:space="0" w:color="000000"/>
            </w:tcBorders>
          </w:tcPr>
          <w:p>
            <w:pPr>
              <w:pStyle w:val="TableParagraph"/>
              <w:spacing w:line="245" w:lineRule="exact" w:before="1"/>
              <w:ind w:left="117"/>
              <w:rPr>
                <w:sz w:val="21"/>
              </w:rPr>
            </w:pPr>
            <w:r>
              <w:rPr>
                <w:sz w:val="21"/>
              </w:rPr>
              <w:t>面向汽车、能源、电子电器、模具、机械装备等领域</w:t>
            </w:r>
          </w:p>
        </w:tc>
        <w:tc>
          <w:tcPr>
            <w:tcW w:w="370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4"/>
              <w:rPr>
                <w:rFonts w:ascii="思源黑体 CN Bold"/>
                <w:b/>
                <w:sz w:val="19"/>
              </w:rPr>
            </w:pPr>
          </w:p>
          <w:p>
            <w:pPr>
              <w:pStyle w:val="TableParagraph"/>
              <w:spacing w:line="242" w:lineRule="auto" w:before="1"/>
              <w:ind w:left="117" w:right="-29"/>
              <w:rPr>
                <w:sz w:val="21"/>
              </w:rPr>
            </w:pPr>
            <w:r>
              <w:rPr>
                <w:spacing w:val="-10"/>
                <w:sz w:val="21"/>
              </w:rPr>
              <w:t>可视化交互环境；网格划分与前处理设</w:t>
            </w:r>
            <w:r>
              <w:rPr>
                <w:spacing w:val="-12"/>
                <w:sz w:val="21"/>
              </w:rPr>
              <w:t>置；多学科</w:t>
            </w:r>
            <w:r>
              <w:rPr>
                <w:spacing w:val="-3"/>
                <w:sz w:val="21"/>
              </w:rPr>
              <w:t>（</w:t>
            </w:r>
            <w:r>
              <w:rPr>
                <w:spacing w:val="-25"/>
                <w:sz w:val="21"/>
              </w:rPr>
              <w:t>如 </w:t>
            </w:r>
            <w:r>
              <w:rPr>
                <w:rFonts w:ascii="Times New Roman" w:eastAsia="Times New Roman"/>
                <w:sz w:val="21"/>
              </w:rPr>
              <w:t>CSD</w:t>
            </w:r>
            <w:r>
              <w:rPr>
                <w:spacing w:val="-22"/>
                <w:sz w:val="21"/>
              </w:rPr>
              <w:t>、</w:t>
            </w:r>
            <w:r>
              <w:rPr>
                <w:rFonts w:ascii="Times New Roman" w:eastAsia="Times New Roman"/>
                <w:sz w:val="21"/>
              </w:rPr>
              <w:t>CFD</w:t>
            </w:r>
            <w:r>
              <w:rPr>
                <w:spacing w:val="-22"/>
                <w:sz w:val="21"/>
              </w:rPr>
              <w:t>、</w:t>
            </w:r>
            <w:r>
              <w:rPr>
                <w:rFonts w:ascii="Times New Roman" w:eastAsia="Times New Roman"/>
                <w:sz w:val="21"/>
              </w:rPr>
              <w:t>CAA</w:t>
            </w:r>
            <w:r>
              <w:rPr>
                <w:rFonts w:ascii="Times New Roman" w:eastAsia="Times New Roman"/>
                <w:spacing w:val="6"/>
                <w:sz w:val="21"/>
              </w:rPr>
              <w:t> </w:t>
            </w:r>
            <w:r>
              <w:rPr>
                <w:spacing w:val="-3"/>
                <w:sz w:val="21"/>
              </w:rPr>
              <w:t>等</w:t>
            </w:r>
            <w:r>
              <w:rPr>
                <w:sz w:val="21"/>
              </w:rPr>
              <w:t>） </w:t>
            </w:r>
            <w:r>
              <w:rPr>
                <w:spacing w:val="-11"/>
                <w:sz w:val="21"/>
              </w:rPr>
              <w:t>仿真核心求解器，并行计算；数据后处</w:t>
            </w:r>
            <w:r>
              <w:rPr>
                <w:spacing w:val="-12"/>
                <w:sz w:val="21"/>
              </w:rPr>
              <w:t>理、统计分析与图形化输出；优化设计</w:t>
            </w:r>
            <w:r>
              <w:rPr>
                <w:spacing w:val="-6"/>
                <w:sz w:val="21"/>
              </w:rPr>
              <w:t>与模型修改。</w:t>
            </w:r>
          </w:p>
        </w:tc>
        <w:tc>
          <w:tcPr>
            <w:tcW w:w="994"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167" w:type="dxa"/>
            <w:vMerge w:val="restart"/>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262" w:hRule="atLeast"/>
        </w:trPr>
        <w:tc>
          <w:tcPr>
            <w:tcW w:w="636" w:type="dxa"/>
            <w:tcBorders>
              <w:top w:val="nil"/>
              <w:bottom w:val="nil"/>
              <w:right w:val="single" w:sz="4" w:space="0" w:color="000000"/>
            </w:tcBorders>
          </w:tcPr>
          <w:p>
            <w:pPr>
              <w:pStyle w:val="TableParagraph"/>
              <w:rPr>
                <w:rFonts w:ascii="Times New Roman"/>
                <w:sz w:val="18"/>
              </w:rPr>
            </w:pPr>
          </w:p>
        </w:tc>
        <w:tc>
          <w:tcPr>
            <w:tcW w:w="775" w:type="dxa"/>
            <w:tcBorders>
              <w:top w:val="nil"/>
              <w:left w:val="single" w:sz="4" w:space="0" w:color="000000"/>
              <w:bottom w:val="nil"/>
              <w:right w:val="single" w:sz="4" w:space="0" w:color="000000"/>
            </w:tcBorders>
          </w:tcPr>
          <w:p>
            <w:pPr>
              <w:pStyle w:val="TableParagraph"/>
              <w:rPr>
                <w:rFonts w:ascii="Times New Roman"/>
                <w:sz w:val="18"/>
              </w:rPr>
            </w:pPr>
          </w:p>
        </w:tc>
        <w:tc>
          <w:tcPr>
            <w:tcW w:w="1723" w:type="dxa"/>
            <w:tcBorders>
              <w:top w:val="nil"/>
              <w:left w:val="single" w:sz="4" w:space="0" w:color="000000"/>
              <w:bottom w:val="nil"/>
              <w:right w:val="single" w:sz="4" w:space="0" w:color="000000"/>
            </w:tcBorders>
          </w:tcPr>
          <w:p>
            <w:pPr>
              <w:pStyle w:val="TableParagraph"/>
              <w:rPr>
                <w:rFonts w:ascii="Times New Roman"/>
                <w:sz w:val="18"/>
              </w:rPr>
            </w:pPr>
          </w:p>
        </w:tc>
        <w:tc>
          <w:tcPr>
            <w:tcW w:w="5064" w:type="dxa"/>
            <w:tcBorders>
              <w:top w:val="nil"/>
              <w:left w:val="single" w:sz="4" w:space="0" w:color="000000"/>
              <w:bottom w:val="nil"/>
              <w:right w:val="single" w:sz="4" w:space="0" w:color="000000"/>
            </w:tcBorders>
          </w:tcPr>
          <w:p>
            <w:pPr>
              <w:pStyle w:val="TableParagraph"/>
              <w:spacing w:line="242" w:lineRule="exact"/>
              <w:ind w:left="117"/>
              <w:rPr>
                <w:sz w:val="21"/>
              </w:rPr>
            </w:pPr>
            <w:r>
              <w:rPr>
                <w:sz w:val="21"/>
              </w:rPr>
              <w:t>企业的研发设计需求，利用行业仿真软件，对复杂工</w:t>
            </w:r>
          </w:p>
        </w:tc>
        <w:tc>
          <w:tcPr>
            <w:tcW w:w="3708" w:type="dxa"/>
            <w:vMerge/>
            <w:tcBorders>
              <w:top w:val="nil"/>
              <w:left w:val="single" w:sz="4" w:space="0" w:color="000000"/>
              <w:bottom w:val="single" w:sz="4" w:space="0" w:color="000000"/>
              <w:right w:val="single" w:sz="4" w:space="0" w:color="000000"/>
            </w:tcBorders>
          </w:tcPr>
          <w:p>
            <w:pPr>
              <w:rPr>
                <w:sz w:val="2"/>
                <w:szCs w:val="2"/>
              </w:rPr>
            </w:pPr>
          </w:p>
        </w:tc>
        <w:tc>
          <w:tcPr>
            <w:tcW w:w="994" w:type="dxa"/>
            <w:tcBorders>
              <w:top w:val="nil"/>
              <w:left w:val="single" w:sz="4" w:space="0" w:color="000000"/>
              <w:bottom w:val="nil"/>
              <w:right w:val="single" w:sz="4" w:space="0" w:color="000000"/>
            </w:tcBorders>
          </w:tcPr>
          <w:p>
            <w:pPr>
              <w:pStyle w:val="TableParagraph"/>
              <w:rPr>
                <w:rFonts w:ascii="Times New Roman"/>
                <w:sz w:val="18"/>
              </w:rPr>
            </w:pPr>
          </w:p>
        </w:tc>
        <w:tc>
          <w:tcPr>
            <w:tcW w:w="1167" w:type="dxa"/>
            <w:vMerge/>
            <w:tcBorders>
              <w:top w:val="nil"/>
              <w:left w:val="single" w:sz="4" w:space="0" w:color="000000"/>
              <w:bottom w:val="single" w:sz="4" w:space="0" w:color="000000"/>
            </w:tcBorders>
          </w:tcPr>
          <w:p>
            <w:pPr>
              <w:rPr>
                <w:sz w:val="2"/>
                <w:szCs w:val="2"/>
              </w:rPr>
            </w:pPr>
          </w:p>
        </w:tc>
      </w:tr>
      <w:tr>
        <w:trPr>
          <w:trHeight w:val="262" w:hRule="atLeast"/>
        </w:trPr>
        <w:tc>
          <w:tcPr>
            <w:tcW w:w="636" w:type="dxa"/>
            <w:tcBorders>
              <w:top w:val="nil"/>
              <w:bottom w:val="nil"/>
              <w:right w:val="single" w:sz="4" w:space="0" w:color="000000"/>
            </w:tcBorders>
          </w:tcPr>
          <w:p>
            <w:pPr>
              <w:pStyle w:val="TableParagraph"/>
              <w:rPr>
                <w:rFonts w:ascii="Times New Roman"/>
                <w:sz w:val="18"/>
              </w:rPr>
            </w:pPr>
          </w:p>
        </w:tc>
        <w:tc>
          <w:tcPr>
            <w:tcW w:w="775" w:type="dxa"/>
            <w:tcBorders>
              <w:top w:val="nil"/>
              <w:left w:val="single" w:sz="4" w:space="0" w:color="000000"/>
              <w:bottom w:val="nil"/>
              <w:right w:val="single" w:sz="4" w:space="0" w:color="000000"/>
            </w:tcBorders>
          </w:tcPr>
          <w:p>
            <w:pPr>
              <w:pStyle w:val="TableParagraph"/>
              <w:rPr>
                <w:rFonts w:ascii="Times New Roman"/>
                <w:sz w:val="18"/>
              </w:rPr>
            </w:pPr>
          </w:p>
        </w:tc>
        <w:tc>
          <w:tcPr>
            <w:tcW w:w="1723" w:type="dxa"/>
            <w:tcBorders>
              <w:top w:val="nil"/>
              <w:left w:val="single" w:sz="4" w:space="0" w:color="000000"/>
              <w:bottom w:val="nil"/>
              <w:right w:val="single" w:sz="4" w:space="0" w:color="000000"/>
            </w:tcBorders>
          </w:tcPr>
          <w:p>
            <w:pPr>
              <w:pStyle w:val="TableParagraph"/>
              <w:rPr>
                <w:rFonts w:ascii="Times New Roman"/>
                <w:sz w:val="18"/>
              </w:rPr>
            </w:pPr>
          </w:p>
        </w:tc>
        <w:tc>
          <w:tcPr>
            <w:tcW w:w="5064" w:type="dxa"/>
            <w:tcBorders>
              <w:top w:val="nil"/>
              <w:left w:val="single" w:sz="4" w:space="0" w:color="000000"/>
              <w:bottom w:val="nil"/>
              <w:right w:val="single" w:sz="4" w:space="0" w:color="000000"/>
            </w:tcBorders>
          </w:tcPr>
          <w:p>
            <w:pPr>
              <w:pStyle w:val="TableParagraph"/>
              <w:spacing w:line="242" w:lineRule="exact"/>
              <w:ind w:left="117"/>
              <w:rPr>
                <w:sz w:val="21"/>
              </w:rPr>
            </w:pPr>
            <w:r>
              <w:rPr>
                <w:sz w:val="21"/>
              </w:rPr>
              <w:t>程产品或设计进行结构力学、流体动力学、传热与散</w:t>
            </w:r>
          </w:p>
        </w:tc>
        <w:tc>
          <w:tcPr>
            <w:tcW w:w="3708" w:type="dxa"/>
            <w:vMerge/>
            <w:tcBorders>
              <w:top w:val="nil"/>
              <w:left w:val="single" w:sz="4" w:space="0" w:color="000000"/>
              <w:bottom w:val="single" w:sz="4" w:space="0" w:color="000000"/>
              <w:right w:val="single" w:sz="4" w:space="0" w:color="000000"/>
            </w:tcBorders>
          </w:tcPr>
          <w:p>
            <w:pPr>
              <w:rPr>
                <w:sz w:val="2"/>
                <w:szCs w:val="2"/>
              </w:rPr>
            </w:pPr>
          </w:p>
        </w:tc>
        <w:tc>
          <w:tcPr>
            <w:tcW w:w="994" w:type="dxa"/>
            <w:tcBorders>
              <w:top w:val="nil"/>
              <w:left w:val="single" w:sz="4" w:space="0" w:color="000000"/>
              <w:bottom w:val="nil"/>
              <w:right w:val="single" w:sz="4" w:space="0" w:color="000000"/>
            </w:tcBorders>
          </w:tcPr>
          <w:p>
            <w:pPr>
              <w:pStyle w:val="TableParagraph"/>
              <w:rPr>
                <w:rFonts w:ascii="Times New Roman"/>
                <w:sz w:val="18"/>
              </w:rPr>
            </w:pPr>
          </w:p>
        </w:tc>
        <w:tc>
          <w:tcPr>
            <w:tcW w:w="1167" w:type="dxa"/>
            <w:vMerge/>
            <w:tcBorders>
              <w:top w:val="nil"/>
              <w:left w:val="single" w:sz="4" w:space="0" w:color="000000"/>
              <w:bottom w:val="single" w:sz="4" w:space="0" w:color="000000"/>
            </w:tcBorders>
          </w:tcPr>
          <w:p>
            <w:pPr>
              <w:rPr>
                <w:sz w:val="2"/>
                <w:szCs w:val="2"/>
              </w:rPr>
            </w:pPr>
          </w:p>
        </w:tc>
      </w:tr>
      <w:tr>
        <w:trPr>
          <w:trHeight w:val="542" w:hRule="atLeast"/>
        </w:trPr>
        <w:tc>
          <w:tcPr>
            <w:tcW w:w="636" w:type="dxa"/>
            <w:tcBorders>
              <w:top w:val="nil"/>
              <w:bottom w:val="nil"/>
              <w:right w:val="single" w:sz="4" w:space="0" w:color="000000"/>
            </w:tcBorders>
          </w:tcPr>
          <w:p>
            <w:pPr>
              <w:pStyle w:val="TableParagraph"/>
              <w:spacing w:before="142"/>
              <w:ind w:left="107"/>
              <w:rPr>
                <w:rFonts w:ascii="Times New Roman"/>
                <w:sz w:val="21"/>
              </w:rPr>
            </w:pPr>
            <w:r>
              <w:rPr>
                <w:rFonts w:ascii="Times New Roman"/>
                <w:w w:val="100"/>
                <w:sz w:val="21"/>
              </w:rPr>
              <w:t>2</w:t>
            </w:r>
          </w:p>
        </w:tc>
        <w:tc>
          <w:tcPr>
            <w:tcW w:w="775" w:type="dxa"/>
            <w:tcBorders>
              <w:top w:val="nil"/>
              <w:left w:val="single" w:sz="4" w:space="0" w:color="000000"/>
              <w:bottom w:val="nil"/>
              <w:right w:val="single" w:sz="4" w:space="0" w:color="000000"/>
            </w:tcBorders>
          </w:tcPr>
          <w:p>
            <w:pPr>
              <w:pStyle w:val="TableParagraph"/>
              <w:rPr>
                <w:rFonts w:ascii="Times New Roman"/>
                <w:sz w:val="22"/>
              </w:rPr>
            </w:pPr>
          </w:p>
        </w:tc>
        <w:tc>
          <w:tcPr>
            <w:tcW w:w="1723" w:type="dxa"/>
            <w:tcBorders>
              <w:top w:val="nil"/>
              <w:left w:val="single" w:sz="4" w:space="0" w:color="000000"/>
              <w:bottom w:val="nil"/>
              <w:right w:val="single" w:sz="4" w:space="0" w:color="000000"/>
            </w:tcBorders>
          </w:tcPr>
          <w:p>
            <w:pPr>
              <w:pStyle w:val="TableParagraph"/>
              <w:spacing w:line="266" w:lineRule="exact"/>
              <w:ind w:left="220" w:right="191"/>
              <w:jc w:val="center"/>
              <w:rPr>
                <w:sz w:val="21"/>
              </w:rPr>
            </w:pPr>
            <w:r>
              <w:rPr>
                <w:sz w:val="21"/>
              </w:rPr>
              <w:t>行业仿真工具</w:t>
            </w:r>
          </w:p>
          <w:p>
            <w:pPr>
              <w:pStyle w:val="TableParagraph"/>
              <w:spacing w:line="253" w:lineRule="exact" w:before="4"/>
              <w:ind w:left="221" w:right="190"/>
              <w:jc w:val="center"/>
              <w:rPr>
                <w:sz w:val="21"/>
              </w:rPr>
            </w:pPr>
            <w:r>
              <w:rPr>
                <w:sz w:val="21"/>
              </w:rPr>
              <w:t>（</w:t>
            </w:r>
            <w:r>
              <w:rPr>
                <w:rFonts w:ascii="Times New Roman" w:eastAsia="Times New Roman"/>
                <w:sz w:val="21"/>
              </w:rPr>
              <w:t>CAE</w:t>
            </w:r>
            <w:r>
              <w:rPr>
                <w:sz w:val="21"/>
              </w:rPr>
              <w:t>）</w:t>
            </w:r>
          </w:p>
        </w:tc>
        <w:tc>
          <w:tcPr>
            <w:tcW w:w="5064" w:type="dxa"/>
            <w:tcBorders>
              <w:top w:val="nil"/>
              <w:left w:val="single" w:sz="4" w:space="0" w:color="000000"/>
              <w:bottom w:val="nil"/>
              <w:right w:val="single" w:sz="4" w:space="0" w:color="000000"/>
            </w:tcBorders>
          </w:tcPr>
          <w:p>
            <w:pPr>
              <w:pStyle w:val="TableParagraph"/>
              <w:spacing w:line="266" w:lineRule="exact"/>
              <w:ind w:left="117"/>
              <w:rPr>
                <w:sz w:val="21"/>
              </w:rPr>
            </w:pPr>
            <w:r>
              <w:rPr>
                <w:spacing w:val="-3"/>
                <w:sz w:val="21"/>
              </w:rPr>
              <w:t>热、噪声等多学科仿真计算，模拟、预测、分析和优</w:t>
            </w:r>
          </w:p>
          <w:p>
            <w:pPr>
              <w:pStyle w:val="TableParagraph"/>
              <w:spacing w:line="253" w:lineRule="exact" w:before="4"/>
              <w:ind w:left="117"/>
              <w:rPr>
                <w:sz w:val="21"/>
              </w:rPr>
            </w:pPr>
            <w:r>
              <w:rPr>
                <w:spacing w:val="-3"/>
                <w:sz w:val="21"/>
              </w:rPr>
              <w:t>化产品工作状态和性能指标，帮助企业及时发现设计</w:t>
            </w:r>
          </w:p>
        </w:tc>
        <w:tc>
          <w:tcPr>
            <w:tcW w:w="3708" w:type="dxa"/>
            <w:vMerge/>
            <w:tcBorders>
              <w:top w:val="nil"/>
              <w:left w:val="single" w:sz="4" w:space="0" w:color="000000"/>
              <w:bottom w:val="single" w:sz="4" w:space="0" w:color="000000"/>
              <w:right w:val="single" w:sz="4" w:space="0" w:color="000000"/>
            </w:tcBorders>
          </w:tcPr>
          <w:p>
            <w:pPr>
              <w:rPr>
                <w:sz w:val="2"/>
                <w:szCs w:val="2"/>
              </w:rPr>
            </w:pPr>
          </w:p>
        </w:tc>
        <w:tc>
          <w:tcPr>
            <w:tcW w:w="994" w:type="dxa"/>
            <w:tcBorders>
              <w:top w:val="nil"/>
              <w:left w:val="single" w:sz="4" w:space="0" w:color="000000"/>
              <w:bottom w:val="nil"/>
              <w:right w:val="single" w:sz="4" w:space="0" w:color="000000"/>
            </w:tcBorders>
          </w:tcPr>
          <w:p>
            <w:pPr>
              <w:pStyle w:val="TableParagraph"/>
              <w:spacing w:before="133"/>
              <w:ind w:left="117"/>
              <w:rPr>
                <w:sz w:val="21"/>
              </w:rPr>
            </w:pPr>
            <w:r>
              <w:rPr>
                <w:rFonts w:ascii="Times New Roman" w:eastAsia="Times New Roman"/>
                <w:sz w:val="21"/>
              </w:rPr>
              <w:t>18 </w:t>
            </w:r>
            <w:r>
              <w:rPr>
                <w:sz w:val="21"/>
              </w:rPr>
              <w:t>万元</w:t>
            </w:r>
          </w:p>
        </w:tc>
        <w:tc>
          <w:tcPr>
            <w:tcW w:w="1167" w:type="dxa"/>
            <w:vMerge/>
            <w:tcBorders>
              <w:top w:val="nil"/>
              <w:left w:val="single" w:sz="4" w:space="0" w:color="000000"/>
              <w:bottom w:val="single" w:sz="4" w:space="0" w:color="000000"/>
            </w:tcBorders>
          </w:tcPr>
          <w:p>
            <w:pPr>
              <w:rPr>
                <w:sz w:val="2"/>
                <w:szCs w:val="2"/>
              </w:rPr>
            </w:pPr>
          </w:p>
        </w:tc>
      </w:tr>
      <w:tr>
        <w:trPr>
          <w:trHeight w:val="925" w:hRule="atLeast"/>
        </w:trPr>
        <w:tc>
          <w:tcPr>
            <w:tcW w:w="636" w:type="dxa"/>
            <w:tcBorders>
              <w:top w:val="nil"/>
              <w:bottom w:val="single" w:sz="4" w:space="0" w:color="000000"/>
              <w:right w:val="single" w:sz="4" w:space="0" w:color="000000"/>
            </w:tcBorders>
          </w:tcPr>
          <w:p>
            <w:pPr>
              <w:pStyle w:val="TableParagraph"/>
              <w:rPr>
                <w:rFonts w:ascii="Times New Roman"/>
                <w:sz w:val="22"/>
              </w:rPr>
            </w:pPr>
          </w:p>
        </w:tc>
        <w:tc>
          <w:tcPr>
            <w:tcW w:w="775" w:type="dxa"/>
            <w:tcBorders>
              <w:top w:val="nil"/>
              <w:left w:val="single" w:sz="4" w:space="0" w:color="000000"/>
              <w:bottom w:val="nil"/>
              <w:right w:val="single" w:sz="4" w:space="0" w:color="000000"/>
            </w:tcBorders>
          </w:tcPr>
          <w:p>
            <w:pPr>
              <w:pStyle w:val="TableParagraph"/>
              <w:spacing w:line="244" w:lineRule="auto" w:before="173"/>
              <w:ind w:left="186" w:right="153"/>
              <w:rPr>
                <w:sz w:val="21"/>
              </w:rPr>
            </w:pPr>
            <w:r>
              <w:rPr>
                <w:sz w:val="21"/>
              </w:rPr>
              <w:t>研发设计</w:t>
            </w:r>
          </w:p>
        </w:tc>
        <w:tc>
          <w:tcPr>
            <w:tcW w:w="1723" w:type="dxa"/>
            <w:tcBorders>
              <w:top w:val="nil"/>
              <w:left w:val="single" w:sz="4" w:space="0" w:color="000000"/>
              <w:bottom w:val="single" w:sz="4" w:space="0" w:color="000000"/>
              <w:right w:val="single" w:sz="4" w:space="0" w:color="000000"/>
            </w:tcBorders>
          </w:tcPr>
          <w:p>
            <w:pPr>
              <w:pStyle w:val="TableParagraph"/>
              <w:rPr>
                <w:rFonts w:ascii="Times New Roman"/>
                <w:sz w:val="22"/>
              </w:rPr>
            </w:pPr>
          </w:p>
        </w:tc>
        <w:tc>
          <w:tcPr>
            <w:tcW w:w="5064" w:type="dxa"/>
            <w:tcBorders>
              <w:top w:val="nil"/>
              <w:left w:val="single" w:sz="4" w:space="0" w:color="000000"/>
              <w:bottom w:val="single" w:sz="4" w:space="0" w:color="000000"/>
              <w:right w:val="single" w:sz="4" w:space="0" w:color="000000"/>
            </w:tcBorders>
          </w:tcPr>
          <w:p>
            <w:pPr>
              <w:pStyle w:val="TableParagraph"/>
              <w:spacing w:line="242" w:lineRule="auto"/>
              <w:ind w:left="117" w:right="83"/>
              <w:jc w:val="both"/>
              <w:rPr>
                <w:sz w:val="21"/>
              </w:rPr>
            </w:pPr>
            <w:r>
              <w:rPr>
                <w:sz w:val="21"/>
              </w:rPr>
              <w:t>缺陷，有效提升产品功能与性能，增强产品可靠性与市场竞争力。应用企业直接调度云端高性能计算环境与软件资源进行仿真分析，无需自建硬、软件环境。</w:t>
            </w:r>
          </w:p>
        </w:tc>
        <w:tc>
          <w:tcPr>
            <w:tcW w:w="3708" w:type="dxa"/>
            <w:vMerge/>
            <w:tcBorders>
              <w:top w:val="nil"/>
              <w:left w:val="single" w:sz="4" w:space="0" w:color="000000"/>
              <w:bottom w:val="single" w:sz="4" w:space="0" w:color="000000"/>
              <w:right w:val="single" w:sz="4" w:space="0" w:color="000000"/>
            </w:tcBorders>
          </w:tcPr>
          <w:p>
            <w:pPr>
              <w:rPr>
                <w:sz w:val="2"/>
                <w:szCs w:val="2"/>
              </w:rPr>
            </w:pPr>
          </w:p>
        </w:tc>
        <w:tc>
          <w:tcPr>
            <w:tcW w:w="994" w:type="dxa"/>
            <w:tcBorders>
              <w:top w:val="nil"/>
              <w:left w:val="single" w:sz="4" w:space="0" w:color="000000"/>
              <w:bottom w:val="single" w:sz="4" w:space="0" w:color="000000"/>
              <w:right w:val="single" w:sz="4" w:space="0" w:color="000000"/>
            </w:tcBorders>
          </w:tcPr>
          <w:p>
            <w:pPr>
              <w:pStyle w:val="TableParagraph"/>
              <w:rPr>
                <w:rFonts w:ascii="Times New Roman"/>
                <w:sz w:val="22"/>
              </w:rPr>
            </w:pPr>
          </w:p>
        </w:tc>
        <w:tc>
          <w:tcPr>
            <w:tcW w:w="1167" w:type="dxa"/>
            <w:vMerge/>
            <w:tcBorders>
              <w:top w:val="nil"/>
              <w:left w:val="single" w:sz="4" w:space="0" w:color="000000"/>
              <w:bottom w:val="single" w:sz="4" w:space="0" w:color="000000"/>
            </w:tcBorders>
          </w:tcPr>
          <w:p>
            <w:pPr>
              <w:rPr>
                <w:sz w:val="2"/>
                <w:szCs w:val="2"/>
              </w:rPr>
            </w:pPr>
          </w:p>
        </w:tc>
      </w:tr>
      <w:tr>
        <w:trPr>
          <w:trHeight w:val="265" w:hRule="atLeast"/>
        </w:trPr>
        <w:tc>
          <w:tcPr>
            <w:tcW w:w="636" w:type="dxa"/>
            <w:tcBorders>
              <w:top w:val="single" w:sz="4" w:space="0" w:color="000000"/>
              <w:bottom w:val="nil"/>
              <w:right w:val="single" w:sz="4" w:space="0" w:color="000000"/>
            </w:tcBorders>
          </w:tcPr>
          <w:p>
            <w:pPr>
              <w:pStyle w:val="TableParagraph"/>
              <w:rPr>
                <w:rFonts w:ascii="Times New Roman"/>
                <w:sz w:val="18"/>
              </w:rPr>
            </w:pPr>
          </w:p>
        </w:tc>
        <w:tc>
          <w:tcPr>
            <w:tcW w:w="775" w:type="dxa"/>
            <w:tcBorders>
              <w:top w:val="nil"/>
              <w:left w:val="single" w:sz="4" w:space="0" w:color="000000"/>
              <w:bottom w:val="nil"/>
              <w:right w:val="single" w:sz="4" w:space="0" w:color="000000"/>
            </w:tcBorders>
          </w:tcPr>
          <w:p>
            <w:pPr>
              <w:pStyle w:val="TableParagraph"/>
              <w:rPr>
                <w:rFonts w:ascii="Times New Roman"/>
                <w:sz w:val="18"/>
              </w:rPr>
            </w:pPr>
          </w:p>
        </w:tc>
        <w:tc>
          <w:tcPr>
            <w:tcW w:w="1723"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5064" w:type="dxa"/>
            <w:tcBorders>
              <w:top w:val="single" w:sz="4" w:space="0" w:color="000000"/>
              <w:left w:val="single" w:sz="4" w:space="0" w:color="000000"/>
              <w:bottom w:val="nil"/>
              <w:right w:val="single" w:sz="4" w:space="0" w:color="000000"/>
            </w:tcBorders>
          </w:tcPr>
          <w:p>
            <w:pPr>
              <w:pStyle w:val="TableParagraph"/>
              <w:spacing w:line="245" w:lineRule="exact" w:before="1"/>
              <w:ind w:left="117"/>
              <w:rPr>
                <w:sz w:val="21"/>
              </w:rPr>
            </w:pPr>
            <w:r>
              <w:rPr>
                <w:sz w:val="21"/>
              </w:rPr>
              <w:t>面向企业产品生命周期管理需求，以产品研发过程数</w:t>
            </w:r>
          </w:p>
        </w:tc>
        <w:tc>
          <w:tcPr>
            <w:tcW w:w="370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2" w:lineRule="auto" w:before="137"/>
              <w:ind w:left="117" w:right="81"/>
              <w:jc w:val="both"/>
              <w:rPr>
                <w:sz w:val="21"/>
              </w:rPr>
            </w:pPr>
            <w:r>
              <w:rPr>
                <w:spacing w:val="-2"/>
                <w:sz w:val="21"/>
              </w:rPr>
              <w:t>产品数据文件</w:t>
            </w:r>
            <w:r>
              <w:rPr>
                <w:spacing w:val="-3"/>
                <w:sz w:val="21"/>
              </w:rPr>
              <w:t>（图文档、</w:t>
            </w:r>
            <w:r>
              <w:rPr>
                <w:rFonts w:ascii="Times New Roman" w:eastAsia="Times New Roman"/>
                <w:sz w:val="21"/>
              </w:rPr>
              <w:t>BOM </w:t>
            </w:r>
            <w:r>
              <w:rPr>
                <w:sz w:val="21"/>
              </w:rPr>
              <w:t>等</w:t>
            </w:r>
            <w:r>
              <w:rPr>
                <w:spacing w:val="-3"/>
                <w:sz w:val="21"/>
              </w:rPr>
              <w:t>）</w:t>
            </w:r>
            <w:r>
              <w:rPr>
                <w:sz w:val="21"/>
              </w:rPr>
              <w:t>的</w:t>
            </w:r>
            <w:r>
              <w:rPr>
                <w:spacing w:val="-11"/>
                <w:sz w:val="21"/>
              </w:rPr>
              <w:t>上传下载、项目组多人远程协同；流程</w:t>
            </w:r>
            <w:r>
              <w:rPr>
                <w:spacing w:val="-13"/>
                <w:sz w:val="21"/>
              </w:rPr>
              <w:t>和任务管理审核、权限控制、产品开发</w:t>
            </w:r>
            <w:r>
              <w:rPr>
                <w:spacing w:val="-12"/>
                <w:sz w:val="21"/>
              </w:rPr>
              <w:t>进度跟踪查询；知识资产集中管理和复用。</w:t>
            </w:r>
          </w:p>
        </w:tc>
        <w:tc>
          <w:tcPr>
            <w:tcW w:w="994"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167" w:type="dxa"/>
            <w:vMerge w:val="restart"/>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262" w:hRule="atLeast"/>
        </w:trPr>
        <w:tc>
          <w:tcPr>
            <w:tcW w:w="636" w:type="dxa"/>
            <w:tcBorders>
              <w:top w:val="nil"/>
              <w:bottom w:val="nil"/>
              <w:right w:val="single" w:sz="4" w:space="0" w:color="000000"/>
            </w:tcBorders>
          </w:tcPr>
          <w:p>
            <w:pPr>
              <w:pStyle w:val="TableParagraph"/>
              <w:rPr>
                <w:rFonts w:ascii="Times New Roman"/>
                <w:sz w:val="18"/>
              </w:rPr>
            </w:pPr>
          </w:p>
        </w:tc>
        <w:tc>
          <w:tcPr>
            <w:tcW w:w="775" w:type="dxa"/>
            <w:tcBorders>
              <w:top w:val="nil"/>
              <w:left w:val="single" w:sz="4" w:space="0" w:color="000000"/>
              <w:bottom w:val="nil"/>
              <w:right w:val="single" w:sz="4" w:space="0" w:color="000000"/>
            </w:tcBorders>
          </w:tcPr>
          <w:p>
            <w:pPr>
              <w:pStyle w:val="TableParagraph"/>
              <w:rPr>
                <w:rFonts w:ascii="Times New Roman"/>
                <w:sz w:val="18"/>
              </w:rPr>
            </w:pPr>
          </w:p>
        </w:tc>
        <w:tc>
          <w:tcPr>
            <w:tcW w:w="1723" w:type="dxa"/>
            <w:tcBorders>
              <w:top w:val="nil"/>
              <w:left w:val="single" w:sz="4" w:space="0" w:color="000000"/>
              <w:bottom w:val="nil"/>
              <w:right w:val="single" w:sz="4" w:space="0" w:color="000000"/>
            </w:tcBorders>
          </w:tcPr>
          <w:p>
            <w:pPr>
              <w:pStyle w:val="TableParagraph"/>
              <w:rPr>
                <w:rFonts w:ascii="Times New Roman"/>
                <w:sz w:val="18"/>
              </w:rPr>
            </w:pPr>
          </w:p>
        </w:tc>
        <w:tc>
          <w:tcPr>
            <w:tcW w:w="5064" w:type="dxa"/>
            <w:tcBorders>
              <w:top w:val="nil"/>
              <w:left w:val="single" w:sz="4" w:space="0" w:color="000000"/>
              <w:bottom w:val="nil"/>
              <w:right w:val="single" w:sz="4" w:space="0" w:color="000000"/>
            </w:tcBorders>
          </w:tcPr>
          <w:p>
            <w:pPr>
              <w:pStyle w:val="TableParagraph"/>
              <w:spacing w:line="242" w:lineRule="exact"/>
              <w:ind w:left="117" w:right="-29"/>
              <w:rPr>
                <w:sz w:val="21"/>
              </w:rPr>
            </w:pPr>
            <w:r>
              <w:rPr>
                <w:spacing w:val="-11"/>
                <w:sz w:val="21"/>
              </w:rPr>
              <w:t>据的创建、管理、分发和应用为核心，加强设计文档、</w:t>
            </w:r>
          </w:p>
        </w:tc>
        <w:tc>
          <w:tcPr>
            <w:tcW w:w="3708" w:type="dxa"/>
            <w:vMerge/>
            <w:tcBorders>
              <w:top w:val="nil"/>
              <w:left w:val="single" w:sz="4" w:space="0" w:color="000000"/>
              <w:bottom w:val="single" w:sz="4" w:space="0" w:color="000000"/>
              <w:right w:val="single" w:sz="4" w:space="0" w:color="000000"/>
            </w:tcBorders>
          </w:tcPr>
          <w:p>
            <w:pPr>
              <w:rPr>
                <w:sz w:val="2"/>
                <w:szCs w:val="2"/>
              </w:rPr>
            </w:pPr>
          </w:p>
        </w:tc>
        <w:tc>
          <w:tcPr>
            <w:tcW w:w="994" w:type="dxa"/>
            <w:tcBorders>
              <w:top w:val="nil"/>
              <w:left w:val="single" w:sz="4" w:space="0" w:color="000000"/>
              <w:bottom w:val="nil"/>
              <w:right w:val="single" w:sz="4" w:space="0" w:color="000000"/>
            </w:tcBorders>
          </w:tcPr>
          <w:p>
            <w:pPr>
              <w:pStyle w:val="TableParagraph"/>
              <w:rPr>
                <w:rFonts w:ascii="Times New Roman"/>
                <w:sz w:val="18"/>
              </w:rPr>
            </w:pPr>
          </w:p>
        </w:tc>
        <w:tc>
          <w:tcPr>
            <w:tcW w:w="1167" w:type="dxa"/>
            <w:vMerge/>
            <w:tcBorders>
              <w:top w:val="nil"/>
              <w:left w:val="single" w:sz="4" w:space="0" w:color="000000"/>
              <w:bottom w:val="single" w:sz="4" w:space="0" w:color="000000"/>
            </w:tcBorders>
          </w:tcPr>
          <w:p>
            <w:pPr>
              <w:rPr>
                <w:sz w:val="2"/>
                <w:szCs w:val="2"/>
              </w:rPr>
            </w:pPr>
          </w:p>
        </w:tc>
      </w:tr>
      <w:tr>
        <w:trPr>
          <w:trHeight w:val="542" w:hRule="atLeast"/>
        </w:trPr>
        <w:tc>
          <w:tcPr>
            <w:tcW w:w="636" w:type="dxa"/>
            <w:tcBorders>
              <w:top w:val="nil"/>
              <w:bottom w:val="nil"/>
              <w:right w:val="single" w:sz="4" w:space="0" w:color="000000"/>
            </w:tcBorders>
          </w:tcPr>
          <w:p>
            <w:pPr>
              <w:pStyle w:val="TableParagraph"/>
              <w:spacing w:before="141"/>
              <w:ind w:left="107"/>
              <w:rPr>
                <w:rFonts w:ascii="Times New Roman"/>
                <w:sz w:val="21"/>
              </w:rPr>
            </w:pPr>
            <w:r>
              <w:rPr>
                <w:rFonts w:ascii="Times New Roman"/>
                <w:w w:val="100"/>
                <w:sz w:val="21"/>
              </w:rPr>
              <w:t>3</w:t>
            </w:r>
          </w:p>
        </w:tc>
        <w:tc>
          <w:tcPr>
            <w:tcW w:w="775" w:type="dxa"/>
            <w:tcBorders>
              <w:top w:val="nil"/>
              <w:left w:val="single" w:sz="4" w:space="0" w:color="000000"/>
              <w:bottom w:val="nil"/>
              <w:right w:val="single" w:sz="4" w:space="0" w:color="000000"/>
            </w:tcBorders>
          </w:tcPr>
          <w:p>
            <w:pPr>
              <w:pStyle w:val="TableParagraph"/>
              <w:rPr>
                <w:rFonts w:ascii="Times New Roman"/>
                <w:sz w:val="22"/>
              </w:rPr>
            </w:pPr>
          </w:p>
        </w:tc>
        <w:tc>
          <w:tcPr>
            <w:tcW w:w="1723" w:type="dxa"/>
            <w:tcBorders>
              <w:top w:val="nil"/>
              <w:left w:val="single" w:sz="4" w:space="0" w:color="000000"/>
              <w:bottom w:val="nil"/>
              <w:right w:val="single" w:sz="4" w:space="0" w:color="000000"/>
            </w:tcBorders>
          </w:tcPr>
          <w:p>
            <w:pPr>
              <w:pStyle w:val="TableParagraph"/>
              <w:spacing w:line="267" w:lineRule="exact"/>
              <w:ind w:left="220" w:right="191"/>
              <w:jc w:val="center"/>
              <w:rPr>
                <w:sz w:val="21"/>
              </w:rPr>
            </w:pPr>
            <w:r>
              <w:rPr>
                <w:sz w:val="21"/>
              </w:rPr>
              <w:t>通用研发管理</w:t>
            </w:r>
          </w:p>
          <w:p>
            <w:pPr>
              <w:pStyle w:val="TableParagraph"/>
              <w:spacing w:line="254" w:lineRule="exact" w:before="2"/>
              <w:ind w:left="220" w:right="191"/>
              <w:jc w:val="center"/>
              <w:rPr>
                <w:sz w:val="21"/>
              </w:rPr>
            </w:pPr>
            <w:r>
              <w:rPr>
                <w:sz w:val="21"/>
              </w:rPr>
              <w:t>（</w:t>
            </w:r>
            <w:r>
              <w:rPr>
                <w:rFonts w:ascii="Times New Roman" w:eastAsia="Times New Roman"/>
                <w:sz w:val="21"/>
              </w:rPr>
              <w:t>PDM</w:t>
            </w:r>
            <w:r>
              <w:rPr>
                <w:sz w:val="21"/>
              </w:rPr>
              <w:t>）</w:t>
            </w:r>
          </w:p>
        </w:tc>
        <w:tc>
          <w:tcPr>
            <w:tcW w:w="5064" w:type="dxa"/>
            <w:tcBorders>
              <w:top w:val="nil"/>
              <w:left w:val="single" w:sz="4" w:space="0" w:color="000000"/>
              <w:bottom w:val="nil"/>
              <w:right w:val="single" w:sz="4" w:space="0" w:color="000000"/>
            </w:tcBorders>
          </w:tcPr>
          <w:p>
            <w:pPr>
              <w:pStyle w:val="TableParagraph"/>
              <w:spacing w:line="267" w:lineRule="exact"/>
              <w:ind w:left="117"/>
              <w:rPr>
                <w:sz w:val="21"/>
              </w:rPr>
            </w:pPr>
            <w:r>
              <w:rPr>
                <w:spacing w:val="-3"/>
                <w:sz w:val="21"/>
              </w:rPr>
              <w:t>图纸、数据的高效利用，改善传统手工管理带来的数</w:t>
            </w:r>
          </w:p>
          <w:p>
            <w:pPr>
              <w:pStyle w:val="TableParagraph"/>
              <w:spacing w:line="254" w:lineRule="exact" w:before="2"/>
              <w:ind w:left="117"/>
              <w:rPr>
                <w:sz w:val="21"/>
              </w:rPr>
            </w:pPr>
            <w:r>
              <w:rPr>
                <w:spacing w:val="-3"/>
                <w:sz w:val="21"/>
              </w:rPr>
              <w:t>据离散、协同度低、泄露风险高等问题，使工作流程</w:t>
            </w:r>
          </w:p>
        </w:tc>
        <w:tc>
          <w:tcPr>
            <w:tcW w:w="3708" w:type="dxa"/>
            <w:vMerge/>
            <w:tcBorders>
              <w:top w:val="nil"/>
              <w:left w:val="single" w:sz="4" w:space="0" w:color="000000"/>
              <w:bottom w:val="single" w:sz="4" w:space="0" w:color="000000"/>
              <w:right w:val="single" w:sz="4" w:space="0" w:color="000000"/>
            </w:tcBorders>
          </w:tcPr>
          <w:p>
            <w:pPr>
              <w:rPr>
                <w:sz w:val="2"/>
                <w:szCs w:val="2"/>
              </w:rPr>
            </w:pPr>
          </w:p>
        </w:tc>
        <w:tc>
          <w:tcPr>
            <w:tcW w:w="994" w:type="dxa"/>
            <w:tcBorders>
              <w:top w:val="nil"/>
              <w:left w:val="single" w:sz="4" w:space="0" w:color="000000"/>
              <w:bottom w:val="nil"/>
              <w:right w:val="single" w:sz="4" w:space="0" w:color="000000"/>
            </w:tcBorders>
          </w:tcPr>
          <w:p>
            <w:pPr>
              <w:pStyle w:val="TableParagraph"/>
              <w:spacing w:before="134"/>
              <w:ind w:left="117"/>
              <w:rPr>
                <w:sz w:val="21"/>
              </w:rPr>
            </w:pPr>
            <w:r>
              <w:rPr>
                <w:rFonts w:ascii="Times New Roman" w:eastAsia="Times New Roman"/>
                <w:sz w:val="21"/>
              </w:rPr>
              <w:t>5 </w:t>
            </w:r>
            <w:r>
              <w:rPr>
                <w:sz w:val="21"/>
              </w:rPr>
              <w:t>万元</w:t>
            </w:r>
          </w:p>
        </w:tc>
        <w:tc>
          <w:tcPr>
            <w:tcW w:w="1167" w:type="dxa"/>
            <w:vMerge/>
            <w:tcBorders>
              <w:top w:val="nil"/>
              <w:left w:val="single" w:sz="4" w:space="0" w:color="000000"/>
              <w:bottom w:val="single" w:sz="4" w:space="0" w:color="000000"/>
            </w:tcBorders>
          </w:tcPr>
          <w:p>
            <w:pPr>
              <w:rPr>
                <w:sz w:val="2"/>
                <w:szCs w:val="2"/>
              </w:rPr>
            </w:pPr>
          </w:p>
        </w:tc>
      </w:tr>
      <w:tr>
        <w:trPr>
          <w:trHeight w:val="254" w:hRule="atLeast"/>
        </w:trPr>
        <w:tc>
          <w:tcPr>
            <w:tcW w:w="636" w:type="dxa"/>
            <w:tcBorders>
              <w:top w:val="nil"/>
              <w:bottom w:val="nil"/>
              <w:right w:val="single" w:sz="4" w:space="0" w:color="000000"/>
            </w:tcBorders>
          </w:tcPr>
          <w:p>
            <w:pPr>
              <w:pStyle w:val="TableParagraph"/>
              <w:rPr>
                <w:rFonts w:ascii="Times New Roman"/>
                <w:sz w:val="18"/>
              </w:rPr>
            </w:pPr>
          </w:p>
        </w:tc>
        <w:tc>
          <w:tcPr>
            <w:tcW w:w="775" w:type="dxa"/>
            <w:tcBorders>
              <w:top w:val="nil"/>
              <w:left w:val="single" w:sz="4" w:space="0" w:color="000000"/>
              <w:bottom w:val="nil"/>
              <w:right w:val="single" w:sz="4" w:space="0" w:color="000000"/>
            </w:tcBorders>
          </w:tcPr>
          <w:p>
            <w:pPr>
              <w:pStyle w:val="TableParagraph"/>
              <w:rPr>
                <w:rFonts w:ascii="Times New Roman"/>
                <w:sz w:val="18"/>
              </w:rPr>
            </w:pPr>
          </w:p>
        </w:tc>
        <w:tc>
          <w:tcPr>
            <w:tcW w:w="1723" w:type="dxa"/>
            <w:tcBorders>
              <w:top w:val="nil"/>
              <w:left w:val="single" w:sz="4" w:space="0" w:color="000000"/>
              <w:bottom w:val="nil"/>
              <w:right w:val="single" w:sz="4" w:space="0" w:color="000000"/>
            </w:tcBorders>
          </w:tcPr>
          <w:p>
            <w:pPr>
              <w:pStyle w:val="TableParagraph"/>
              <w:rPr>
                <w:rFonts w:ascii="Times New Roman"/>
                <w:sz w:val="18"/>
              </w:rPr>
            </w:pPr>
          </w:p>
        </w:tc>
        <w:tc>
          <w:tcPr>
            <w:tcW w:w="5064" w:type="dxa"/>
            <w:tcBorders>
              <w:top w:val="nil"/>
              <w:left w:val="single" w:sz="4" w:space="0" w:color="000000"/>
              <w:bottom w:val="nil"/>
              <w:right w:val="single" w:sz="4" w:space="0" w:color="000000"/>
            </w:tcBorders>
          </w:tcPr>
          <w:p>
            <w:pPr>
              <w:pStyle w:val="TableParagraph"/>
              <w:spacing w:line="234" w:lineRule="exact"/>
              <w:ind w:left="117"/>
              <w:rPr>
                <w:sz w:val="21"/>
              </w:rPr>
            </w:pPr>
            <w:r>
              <w:rPr>
                <w:sz w:val="21"/>
              </w:rPr>
              <w:t>规范化，实现研发部门、企业各相关部门，甚至企业</w:t>
            </w:r>
          </w:p>
        </w:tc>
        <w:tc>
          <w:tcPr>
            <w:tcW w:w="3708" w:type="dxa"/>
            <w:vMerge/>
            <w:tcBorders>
              <w:top w:val="nil"/>
              <w:left w:val="single" w:sz="4" w:space="0" w:color="000000"/>
              <w:bottom w:val="single" w:sz="4" w:space="0" w:color="000000"/>
              <w:right w:val="single" w:sz="4" w:space="0" w:color="000000"/>
            </w:tcBorders>
          </w:tcPr>
          <w:p>
            <w:pPr>
              <w:rPr>
                <w:sz w:val="2"/>
                <w:szCs w:val="2"/>
              </w:rPr>
            </w:pPr>
          </w:p>
        </w:tc>
        <w:tc>
          <w:tcPr>
            <w:tcW w:w="994" w:type="dxa"/>
            <w:tcBorders>
              <w:top w:val="nil"/>
              <w:left w:val="single" w:sz="4" w:space="0" w:color="000000"/>
              <w:bottom w:val="nil"/>
              <w:right w:val="single" w:sz="4" w:space="0" w:color="000000"/>
            </w:tcBorders>
          </w:tcPr>
          <w:p>
            <w:pPr>
              <w:pStyle w:val="TableParagraph"/>
              <w:rPr>
                <w:rFonts w:ascii="Times New Roman"/>
                <w:sz w:val="18"/>
              </w:rPr>
            </w:pPr>
          </w:p>
        </w:tc>
        <w:tc>
          <w:tcPr>
            <w:tcW w:w="1167" w:type="dxa"/>
            <w:vMerge/>
            <w:tcBorders>
              <w:top w:val="nil"/>
              <w:left w:val="single" w:sz="4" w:space="0" w:color="000000"/>
              <w:bottom w:val="single" w:sz="4" w:space="0" w:color="000000"/>
            </w:tcBorders>
          </w:tcPr>
          <w:p>
            <w:pPr>
              <w:rPr>
                <w:sz w:val="2"/>
                <w:szCs w:val="2"/>
              </w:rPr>
            </w:pPr>
          </w:p>
        </w:tc>
      </w:tr>
      <w:tr>
        <w:trPr>
          <w:trHeight w:val="388" w:hRule="atLeast"/>
        </w:trPr>
        <w:tc>
          <w:tcPr>
            <w:tcW w:w="636" w:type="dxa"/>
            <w:tcBorders>
              <w:top w:val="nil"/>
              <w:bottom w:val="single" w:sz="4" w:space="0" w:color="000000"/>
              <w:right w:val="single" w:sz="4" w:space="0" w:color="000000"/>
            </w:tcBorders>
          </w:tcPr>
          <w:p>
            <w:pPr>
              <w:pStyle w:val="TableParagraph"/>
              <w:rPr>
                <w:rFonts w:ascii="Times New Roman"/>
                <w:sz w:val="22"/>
              </w:rPr>
            </w:pPr>
          </w:p>
        </w:tc>
        <w:tc>
          <w:tcPr>
            <w:tcW w:w="775" w:type="dxa"/>
            <w:tcBorders>
              <w:top w:val="nil"/>
              <w:left w:val="single" w:sz="4" w:space="0" w:color="000000"/>
              <w:bottom w:val="nil"/>
              <w:right w:val="single" w:sz="4" w:space="0" w:color="000000"/>
            </w:tcBorders>
          </w:tcPr>
          <w:p>
            <w:pPr>
              <w:pStyle w:val="TableParagraph"/>
              <w:rPr>
                <w:rFonts w:ascii="Times New Roman"/>
                <w:sz w:val="22"/>
              </w:rPr>
            </w:pPr>
          </w:p>
        </w:tc>
        <w:tc>
          <w:tcPr>
            <w:tcW w:w="1723" w:type="dxa"/>
            <w:tcBorders>
              <w:top w:val="nil"/>
              <w:left w:val="single" w:sz="4" w:space="0" w:color="000000"/>
              <w:bottom w:val="single" w:sz="4" w:space="0" w:color="000000"/>
              <w:right w:val="single" w:sz="4" w:space="0" w:color="000000"/>
            </w:tcBorders>
          </w:tcPr>
          <w:p>
            <w:pPr>
              <w:pStyle w:val="TableParagraph"/>
              <w:rPr>
                <w:rFonts w:ascii="Times New Roman"/>
                <w:sz w:val="22"/>
              </w:rPr>
            </w:pPr>
          </w:p>
        </w:tc>
        <w:tc>
          <w:tcPr>
            <w:tcW w:w="5064" w:type="dxa"/>
            <w:tcBorders>
              <w:top w:val="nil"/>
              <w:left w:val="single" w:sz="4" w:space="0" w:color="000000"/>
              <w:bottom w:val="single" w:sz="4" w:space="0" w:color="000000"/>
              <w:right w:val="single" w:sz="4" w:space="0" w:color="000000"/>
            </w:tcBorders>
          </w:tcPr>
          <w:p>
            <w:pPr>
              <w:pStyle w:val="TableParagraph"/>
              <w:spacing w:line="266" w:lineRule="exact"/>
              <w:ind w:left="117"/>
              <w:rPr>
                <w:sz w:val="21"/>
              </w:rPr>
            </w:pPr>
            <w:r>
              <w:rPr>
                <w:sz w:val="21"/>
              </w:rPr>
              <w:t>间对产品数据的协同应用。</w:t>
            </w:r>
          </w:p>
        </w:tc>
        <w:tc>
          <w:tcPr>
            <w:tcW w:w="3708" w:type="dxa"/>
            <w:vMerge/>
            <w:tcBorders>
              <w:top w:val="nil"/>
              <w:left w:val="single" w:sz="4" w:space="0" w:color="000000"/>
              <w:bottom w:val="single" w:sz="4" w:space="0" w:color="000000"/>
              <w:right w:val="single" w:sz="4" w:space="0" w:color="000000"/>
            </w:tcBorders>
          </w:tcPr>
          <w:p>
            <w:pPr>
              <w:rPr>
                <w:sz w:val="2"/>
                <w:szCs w:val="2"/>
              </w:rPr>
            </w:pPr>
          </w:p>
        </w:tc>
        <w:tc>
          <w:tcPr>
            <w:tcW w:w="994" w:type="dxa"/>
            <w:tcBorders>
              <w:top w:val="nil"/>
              <w:left w:val="single" w:sz="4" w:space="0" w:color="000000"/>
              <w:bottom w:val="single" w:sz="4" w:space="0" w:color="000000"/>
              <w:right w:val="single" w:sz="4" w:space="0" w:color="000000"/>
            </w:tcBorders>
          </w:tcPr>
          <w:p>
            <w:pPr>
              <w:pStyle w:val="TableParagraph"/>
              <w:rPr>
                <w:rFonts w:ascii="Times New Roman"/>
                <w:sz w:val="22"/>
              </w:rPr>
            </w:pPr>
          </w:p>
        </w:tc>
        <w:tc>
          <w:tcPr>
            <w:tcW w:w="1167" w:type="dxa"/>
            <w:vMerge/>
            <w:tcBorders>
              <w:top w:val="nil"/>
              <w:left w:val="single" w:sz="4" w:space="0" w:color="000000"/>
              <w:bottom w:val="single" w:sz="4" w:space="0" w:color="000000"/>
            </w:tcBorders>
          </w:tcPr>
          <w:p>
            <w:pPr>
              <w:rPr>
                <w:sz w:val="2"/>
                <w:szCs w:val="2"/>
              </w:rPr>
            </w:pPr>
          </w:p>
        </w:tc>
      </w:tr>
      <w:tr>
        <w:trPr>
          <w:trHeight w:val="840" w:hRule="atLeast"/>
        </w:trPr>
        <w:tc>
          <w:tcPr>
            <w:tcW w:w="636" w:type="dxa"/>
            <w:tcBorders>
              <w:top w:val="single" w:sz="4" w:space="0" w:color="000000"/>
              <w:bottom w:val="nil"/>
              <w:right w:val="single" w:sz="4" w:space="0" w:color="000000"/>
            </w:tcBorders>
          </w:tcPr>
          <w:p>
            <w:pPr>
              <w:pStyle w:val="TableParagraph"/>
              <w:spacing w:before="3"/>
              <w:rPr>
                <w:rFonts w:ascii="思源黑体 CN Bold"/>
                <w:b/>
                <w:sz w:val="20"/>
              </w:rPr>
            </w:pPr>
          </w:p>
          <w:p>
            <w:pPr>
              <w:pStyle w:val="TableParagraph"/>
              <w:ind w:left="107"/>
              <w:rPr>
                <w:rFonts w:ascii="Times New Roman"/>
                <w:sz w:val="21"/>
              </w:rPr>
            </w:pPr>
            <w:r>
              <w:rPr>
                <w:rFonts w:ascii="Times New Roman"/>
                <w:w w:val="100"/>
                <w:sz w:val="21"/>
              </w:rPr>
              <w:t>4</w:t>
            </w:r>
          </w:p>
        </w:tc>
        <w:tc>
          <w:tcPr>
            <w:tcW w:w="775" w:type="dxa"/>
            <w:tcBorders>
              <w:top w:val="nil"/>
              <w:left w:val="single" w:sz="4" w:space="0" w:color="000000"/>
              <w:bottom w:val="nil"/>
              <w:right w:val="single" w:sz="4" w:space="0" w:color="000000"/>
            </w:tcBorders>
          </w:tcPr>
          <w:p>
            <w:pPr>
              <w:pStyle w:val="TableParagraph"/>
              <w:rPr>
                <w:rFonts w:ascii="Times New Roman"/>
                <w:sz w:val="22"/>
              </w:rPr>
            </w:pPr>
          </w:p>
        </w:tc>
        <w:tc>
          <w:tcPr>
            <w:tcW w:w="1723" w:type="dxa"/>
            <w:tcBorders>
              <w:top w:val="single" w:sz="4" w:space="0" w:color="000000"/>
              <w:left w:val="single" w:sz="4" w:space="0" w:color="000000"/>
              <w:bottom w:val="nil"/>
              <w:right w:val="single" w:sz="4" w:space="0" w:color="000000"/>
            </w:tcBorders>
          </w:tcPr>
          <w:p>
            <w:pPr>
              <w:pStyle w:val="TableParagraph"/>
              <w:spacing w:before="14"/>
              <w:rPr>
                <w:rFonts w:ascii="思源黑体 CN Bold"/>
                <w:b/>
                <w:sz w:val="19"/>
              </w:rPr>
            </w:pPr>
          </w:p>
          <w:p>
            <w:pPr>
              <w:pStyle w:val="TableParagraph"/>
              <w:spacing w:before="1"/>
              <w:ind w:left="220" w:right="191"/>
              <w:jc w:val="center"/>
              <w:rPr>
                <w:sz w:val="21"/>
              </w:rPr>
            </w:pPr>
            <w:r>
              <w:rPr>
                <w:sz w:val="21"/>
              </w:rPr>
              <w:t>行业设计工具</w:t>
            </w:r>
          </w:p>
        </w:tc>
        <w:tc>
          <w:tcPr>
            <w:tcW w:w="5064" w:type="dxa"/>
            <w:tcBorders>
              <w:top w:val="single" w:sz="4" w:space="0" w:color="000000"/>
              <w:left w:val="single" w:sz="4" w:space="0" w:color="000000"/>
              <w:bottom w:val="nil"/>
              <w:right w:val="single" w:sz="4" w:space="0" w:color="000000"/>
            </w:tcBorders>
          </w:tcPr>
          <w:p>
            <w:pPr>
              <w:pStyle w:val="TableParagraph"/>
              <w:spacing w:line="242" w:lineRule="auto" w:before="61"/>
              <w:ind w:left="117" w:right="83" w:hanging="1"/>
              <w:rPr>
                <w:sz w:val="21"/>
              </w:rPr>
            </w:pPr>
            <w:r>
              <w:rPr>
                <w:sz w:val="21"/>
              </w:rPr>
              <w:t>面向服装、家居、箱包等行业领域</w:t>
            </w:r>
            <w:r>
              <w:rPr>
                <w:rFonts w:ascii="Times New Roman" w:eastAsia="Times New Roman"/>
                <w:spacing w:val="2"/>
                <w:sz w:val="21"/>
              </w:rPr>
              <w:t>, </w:t>
            </w:r>
            <w:r>
              <w:rPr>
                <w:sz w:val="21"/>
              </w:rPr>
              <w:t>针对二维、三维</w:t>
            </w:r>
            <w:r>
              <w:rPr>
                <w:spacing w:val="-3"/>
                <w:sz w:val="21"/>
              </w:rPr>
              <w:t>及部件、配件管理、工艺结构、建模、空间设计等设</w:t>
            </w:r>
          </w:p>
          <w:p>
            <w:pPr>
              <w:pStyle w:val="TableParagraph"/>
              <w:spacing w:line="215" w:lineRule="exact" w:before="1"/>
              <w:ind w:left="117"/>
              <w:rPr>
                <w:sz w:val="21"/>
              </w:rPr>
            </w:pPr>
            <w:r>
              <w:rPr>
                <w:spacing w:val="-3"/>
                <w:sz w:val="21"/>
              </w:rPr>
              <w:t>计需求，改善从产品部件设计到结构设计、再到终端</w:t>
            </w:r>
          </w:p>
        </w:tc>
        <w:tc>
          <w:tcPr>
            <w:tcW w:w="3708" w:type="dxa"/>
            <w:tcBorders>
              <w:top w:val="single" w:sz="4" w:space="0" w:color="000000"/>
              <w:left w:val="single" w:sz="4" w:space="0" w:color="000000"/>
              <w:bottom w:val="nil"/>
              <w:right w:val="single" w:sz="4" w:space="0" w:color="000000"/>
            </w:tcBorders>
          </w:tcPr>
          <w:p>
            <w:pPr>
              <w:pStyle w:val="TableParagraph"/>
              <w:spacing w:line="242" w:lineRule="auto" w:before="1"/>
              <w:ind w:left="117" w:right="-29"/>
              <w:rPr>
                <w:sz w:val="21"/>
              </w:rPr>
            </w:pPr>
            <w:r>
              <w:rPr>
                <w:spacing w:val="-10"/>
                <w:sz w:val="21"/>
              </w:rPr>
              <w:t>按使用流程功能划分，包含以下功能模</w:t>
            </w:r>
            <w:r>
              <w:rPr>
                <w:spacing w:val="-10"/>
                <w:w w:val="100"/>
                <w:sz w:val="21"/>
              </w:rPr>
              <w:t>块</w:t>
            </w:r>
            <w:r>
              <w:rPr>
                <w:spacing w:val="-1"/>
                <w:w w:val="100"/>
                <w:sz w:val="21"/>
              </w:rPr>
              <w:t>（</w:t>
            </w:r>
            <w:r>
              <w:rPr>
                <w:rFonts w:ascii="Times New Roman" w:eastAsia="Times New Roman"/>
                <w:w w:val="100"/>
                <w:sz w:val="21"/>
              </w:rPr>
              <w:t>5</w:t>
            </w:r>
            <w:r>
              <w:rPr>
                <w:rFonts w:ascii="Times New Roman" w:eastAsia="Times New Roman"/>
                <w:sz w:val="21"/>
              </w:rPr>
              <w:t> </w:t>
            </w:r>
            <w:r>
              <w:rPr>
                <w:spacing w:val="-3"/>
                <w:w w:val="100"/>
                <w:sz w:val="21"/>
              </w:rPr>
              <w:t>项以上</w:t>
            </w:r>
            <w:r>
              <w:rPr>
                <w:spacing w:val="-106"/>
                <w:w w:val="100"/>
                <w:sz w:val="21"/>
              </w:rPr>
              <w:t>）</w:t>
            </w:r>
            <w:r>
              <w:rPr>
                <w:spacing w:val="-6"/>
                <w:w w:val="100"/>
                <w:sz w:val="21"/>
              </w:rPr>
              <w:t>：数据测量、数据传输、</w:t>
            </w:r>
            <w:r>
              <w:rPr>
                <w:spacing w:val="-11"/>
                <w:sz w:val="21"/>
              </w:rPr>
              <w:t>数据导入、方案设计、生产报价、一键</w:t>
            </w:r>
          </w:p>
        </w:tc>
        <w:tc>
          <w:tcPr>
            <w:tcW w:w="994" w:type="dxa"/>
            <w:tcBorders>
              <w:top w:val="single" w:sz="4" w:space="0" w:color="000000"/>
              <w:left w:val="single" w:sz="4" w:space="0" w:color="000000"/>
              <w:bottom w:val="nil"/>
              <w:right w:val="single" w:sz="4" w:space="0" w:color="000000"/>
            </w:tcBorders>
          </w:tcPr>
          <w:p>
            <w:pPr>
              <w:pStyle w:val="TableParagraph"/>
              <w:spacing w:before="14"/>
              <w:rPr>
                <w:rFonts w:ascii="思源黑体 CN Bold"/>
                <w:b/>
                <w:sz w:val="19"/>
              </w:rPr>
            </w:pPr>
          </w:p>
          <w:p>
            <w:pPr>
              <w:pStyle w:val="TableParagraph"/>
              <w:spacing w:before="1"/>
              <w:ind w:left="117"/>
              <w:rPr>
                <w:sz w:val="21"/>
              </w:rPr>
            </w:pPr>
            <w:r>
              <w:rPr>
                <w:rFonts w:ascii="Times New Roman" w:eastAsia="Times New Roman"/>
                <w:sz w:val="21"/>
              </w:rPr>
              <w:t>15 </w:t>
            </w:r>
            <w:r>
              <w:rPr>
                <w:sz w:val="21"/>
              </w:rPr>
              <w:t>万元</w:t>
            </w:r>
          </w:p>
        </w:tc>
        <w:tc>
          <w:tcPr>
            <w:tcW w:w="1167" w:type="dxa"/>
            <w:vMerge w:val="restart"/>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58" w:hRule="atLeast"/>
        </w:trPr>
        <w:tc>
          <w:tcPr>
            <w:tcW w:w="636" w:type="dxa"/>
            <w:tcBorders>
              <w:top w:val="nil"/>
              <w:bottom w:val="single" w:sz="4" w:space="0" w:color="000000"/>
              <w:right w:val="single" w:sz="4" w:space="0" w:color="000000"/>
            </w:tcBorders>
          </w:tcPr>
          <w:p>
            <w:pPr>
              <w:pStyle w:val="TableParagraph"/>
              <w:rPr>
                <w:rFonts w:ascii="Times New Roman"/>
                <w:sz w:val="22"/>
              </w:rPr>
            </w:pPr>
          </w:p>
        </w:tc>
        <w:tc>
          <w:tcPr>
            <w:tcW w:w="775" w:type="dxa"/>
            <w:tcBorders>
              <w:top w:val="nil"/>
              <w:left w:val="single" w:sz="4" w:space="0" w:color="000000"/>
              <w:bottom w:val="single" w:sz="4" w:space="0" w:color="000000"/>
              <w:right w:val="single" w:sz="4" w:space="0" w:color="000000"/>
            </w:tcBorders>
          </w:tcPr>
          <w:p>
            <w:pPr>
              <w:pStyle w:val="TableParagraph"/>
              <w:rPr>
                <w:rFonts w:ascii="Times New Roman"/>
                <w:sz w:val="22"/>
              </w:rPr>
            </w:pPr>
          </w:p>
        </w:tc>
        <w:tc>
          <w:tcPr>
            <w:tcW w:w="1723" w:type="dxa"/>
            <w:tcBorders>
              <w:top w:val="nil"/>
              <w:left w:val="single" w:sz="4" w:space="0" w:color="000000"/>
              <w:bottom w:val="single" w:sz="4" w:space="0" w:color="000000"/>
              <w:right w:val="single" w:sz="4" w:space="0" w:color="000000"/>
            </w:tcBorders>
          </w:tcPr>
          <w:p>
            <w:pPr>
              <w:pStyle w:val="TableParagraph"/>
              <w:rPr>
                <w:rFonts w:ascii="Times New Roman"/>
                <w:sz w:val="22"/>
              </w:rPr>
            </w:pPr>
          </w:p>
        </w:tc>
        <w:tc>
          <w:tcPr>
            <w:tcW w:w="5064" w:type="dxa"/>
            <w:tcBorders>
              <w:top w:val="nil"/>
              <w:left w:val="single" w:sz="4" w:space="0" w:color="000000"/>
              <w:bottom w:val="single" w:sz="4" w:space="0" w:color="000000"/>
              <w:right w:val="single" w:sz="4" w:space="0" w:color="000000"/>
            </w:tcBorders>
          </w:tcPr>
          <w:p>
            <w:pPr>
              <w:pStyle w:val="TableParagraph"/>
              <w:spacing w:before="26"/>
              <w:ind w:left="117" w:right="-29"/>
              <w:rPr>
                <w:sz w:val="21"/>
              </w:rPr>
            </w:pPr>
            <w:r>
              <w:rPr>
                <w:spacing w:val="-10"/>
                <w:sz w:val="21"/>
              </w:rPr>
              <w:t>面向消费设计环节设计图纸、物料清单整体协同效率。</w:t>
            </w:r>
          </w:p>
        </w:tc>
        <w:tc>
          <w:tcPr>
            <w:tcW w:w="3708" w:type="dxa"/>
            <w:tcBorders>
              <w:top w:val="nil"/>
              <w:left w:val="single" w:sz="4" w:space="0" w:color="000000"/>
              <w:bottom w:val="single" w:sz="4" w:space="0" w:color="000000"/>
              <w:right w:val="single" w:sz="4" w:space="0" w:color="000000"/>
            </w:tcBorders>
          </w:tcPr>
          <w:p>
            <w:pPr>
              <w:pStyle w:val="TableParagraph"/>
              <w:spacing w:line="236" w:lineRule="exact"/>
              <w:ind w:left="117"/>
              <w:rPr>
                <w:sz w:val="21"/>
              </w:rPr>
            </w:pPr>
            <w:r>
              <w:rPr>
                <w:sz w:val="21"/>
              </w:rPr>
              <w:t>下单、审单和拆单、渲染与展示等。</w:t>
            </w:r>
          </w:p>
        </w:tc>
        <w:tc>
          <w:tcPr>
            <w:tcW w:w="994" w:type="dxa"/>
            <w:tcBorders>
              <w:top w:val="nil"/>
              <w:left w:val="single" w:sz="4" w:space="0" w:color="000000"/>
              <w:bottom w:val="single" w:sz="4" w:space="0" w:color="000000"/>
              <w:right w:val="single" w:sz="4" w:space="0" w:color="000000"/>
            </w:tcBorders>
          </w:tcPr>
          <w:p>
            <w:pPr>
              <w:pStyle w:val="TableParagraph"/>
              <w:rPr>
                <w:rFonts w:ascii="Times New Roman"/>
                <w:sz w:val="22"/>
              </w:rPr>
            </w:pPr>
          </w:p>
        </w:tc>
        <w:tc>
          <w:tcPr>
            <w:tcW w:w="1167" w:type="dxa"/>
            <w:vMerge/>
            <w:tcBorders>
              <w:top w:val="nil"/>
              <w:left w:val="single" w:sz="4" w:space="0" w:color="000000"/>
              <w:bottom w:val="single" w:sz="4" w:space="0" w:color="000000"/>
            </w:tcBorders>
          </w:tcPr>
          <w:p>
            <w:pPr>
              <w:rPr>
                <w:sz w:val="2"/>
                <w:szCs w:val="2"/>
              </w:rPr>
            </w:pPr>
          </w:p>
        </w:tc>
      </w:tr>
    </w:tbl>
    <w:p>
      <w:pPr>
        <w:spacing w:after="0"/>
        <w:rPr>
          <w:sz w:val="2"/>
          <w:szCs w:val="2"/>
        </w:rPr>
        <w:sectPr>
          <w:footerReference w:type="default" r:id="rId23"/>
          <w:footerReference w:type="even" r:id="rId24"/>
          <w:pgSz w:w="16840" w:h="11900" w:orient="landscape"/>
          <w:pgMar w:footer="1237" w:header="0" w:top="1100" w:bottom="1420" w:left="1320" w:right="1200"/>
          <w:pgNumType w:start="15"/>
        </w:sectPr>
      </w:pPr>
    </w:p>
    <w:p>
      <w:pPr>
        <w:pStyle w:val="BodyText"/>
        <w:rPr>
          <w:rFonts w:ascii="Times New Roman"/>
          <w:sz w:val="20"/>
        </w:rPr>
      </w:pPr>
    </w:p>
    <w:p>
      <w:pPr>
        <w:pStyle w:val="BodyText"/>
        <w:spacing w:before="5" w:after="1"/>
        <w:rPr>
          <w:rFonts w:ascii="Times New Roman"/>
          <w:sz w:val="22"/>
        </w:rPr>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36"/>
        <w:gridCol w:w="775"/>
        <w:gridCol w:w="1723"/>
        <w:gridCol w:w="5064"/>
        <w:gridCol w:w="3708"/>
        <w:gridCol w:w="994"/>
        <w:gridCol w:w="1167"/>
      </w:tblGrid>
      <w:tr>
        <w:trPr>
          <w:trHeight w:val="663" w:hRule="atLeast"/>
        </w:trPr>
        <w:tc>
          <w:tcPr>
            <w:tcW w:w="636" w:type="dxa"/>
            <w:tcBorders>
              <w:right w:val="single" w:sz="4" w:space="0" w:color="000000"/>
            </w:tcBorders>
          </w:tcPr>
          <w:p>
            <w:pPr>
              <w:pStyle w:val="TableParagraph"/>
              <w:spacing w:line="151" w:lineRule="auto" w:before="19"/>
              <w:ind w:left="210" w:right="192"/>
              <w:rPr>
                <w:rFonts w:ascii="思源黑体 CN Bold" w:eastAsia="思源黑体 CN Bold" w:hint="eastAsia"/>
                <w:b/>
                <w:sz w:val="21"/>
              </w:rPr>
            </w:pPr>
            <w:r>
              <w:rPr>
                <w:rFonts w:ascii="思源黑体 CN Bold" w:eastAsia="思源黑体 CN Bold" w:hint="eastAsia"/>
                <w:b/>
                <w:sz w:val="21"/>
              </w:rPr>
              <w:t>序号</w:t>
            </w:r>
          </w:p>
        </w:tc>
        <w:tc>
          <w:tcPr>
            <w:tcW w:w="775" w:type="dxa"/>
            <w:tcBorders>
              <w:left w:val="single" w:sz="4" w:space="0" w:color="000000"/>
              <w:right w:val="single" w:sz="4" w:space="0" w:color="000000"/>
            </w:tcBorders>
          </w:tcPr>
          <w:p>
            <w:pPr>
              <w:pStyle w:val="TableParagraph"/>
              <w:spacing w:line="151" w:lineRule="auto" w:before="19"/>
              <w:ind w:left="184" w:right="155"/>
              <w:rPr>
                <w:rFonts w:ascii="思源黑体 CN Bold" w:eastAsia="思源黑体 CN Bold" w:hint="eastAsia"/>
                <w:b/>
                <w:sz w:val="21"/>
              </w:rPr>
            </w:pPr>
            <w:r>
              <w:rPr>
                <w:rFonts w:ascii="思源黑体 CN Bold" w:eastAsia="思源黑体 CN Bold" w:hint="eastAsia"/>
                <w:b/>
                <w:sz w:val="21"/>
              </w:rPr>
              <w:t>一级目录</w:t>
            </w:r>
          </w:p>
        </w:tc>
        <w:tc>
          <w:tcPr>
            <w:tcW w:w="1723" w:type="dxa"/>
            <w:tcBorders>
              <w:left w:val="single" w:sz="4" w:space="0" w:color="000000"/>
              <w:right w:val="single" w:sz="4" w:space="0" w:color="000000"/>
            </w:tcBorders>
          </w:tcPr>
          <w:p>
            <w:pPr>
              <w:pStyle w:val="TableParagraph"/>
              <w:spacing w:before="43"/>
              <w:ind w:left="220" w:right="191"/>
              <w:jc w:val="center"/>
              <w:rPr>
                <w:rFonts w:ascii="思源黑体 CN Bold" w:eastAsia="思源黑体 CN Bold" w:hint="eastAsia"/>
                <w:b/>
                <w:sz w:val="21"/>
              </w:rPr>
            </w:pPr>
            <w:r>
              <w:rPr>
                <w:rFonts w:ascii="思源黑体 CN Bold" w:eastAsia="思源黑体 CN Bold" w:hint="eastAsia"/>
                <w:b/>
                <w:sz w:val="21"/>
              </w:rPr>
              <w:t>二级目录</w:t>
            </w:r>
          </w:p>
        </w:tc>
        <w:tc>
          <w:tcPr>
            <w:tcW w:w="5064" w:type="dxa"/>
            <w:tcBorders>
              <w:left w:val="single" w:sz="4" w:space="0" w:color="000000"/>
              <w:right w:val="single" w:sz="4" w:space="0" w:color="000000"/>
            </w:tcBorders>
          </w:tcPr>
          <w:p>
            <w:pPr>
              <w:pStyle w:val="TableParagraph"/>
              <w:spacing w:before="43"/>
              <w:ind w:left="1891" w:right="1862"/>
              <w:jc w:val="center"/>
              <w:rPr>
                <w:rFonts w:ascii="思源黑体 CN Bold" w:eastAsia="思源黑体 CN Bold" w:hint="eastAsia"/>
                <w:b/>
                <w:sz w:val="21"/>
              </w:rPr>
            </w:pPr>
            <w:r>
              <w:rPr>
                <w:rFonts w:ascii="思源黑体 CN Bold" w:eastAsia="思源黑体 CN Bold" w:hint="eastAsia"/>
                <w:b/>
                <w:sz w:val="21"/>
              </w:rPr>
              <w:t>主要应用场景</w:t>
            </w:r>
          </w:p>
        </w:tc>
        <w:tc>
          <w:tcPr>
            <w:tcW w:w="3708" w:type="dxa"/>
            <w:tcBorders>
              <w:left w:val="single" w:sz="4" w:space="0" w:color="000000"/>
              <w:right w:val="single" w:sz="4" w:space="0" w:color="000000"/>
            </w:tcBorders>
          </w:tcPr>
          <w:p>
            <w:pPr>
              <w:pStyle w:val="TableParagraph"/>
              <w:spacing w:before="43"/>
              <w:ind w:left="1231"/>
              <w:rPr>
                <w:rFonts w:ascii="思源黑体 CN Bold" w:eastAsia="思源黑体 CN Bold" w:hint="eastAsia"/>
                <w:b/>
                <w:sz w:val="21"/>
              </w:rPr>
            </w:pPr>
            <w:r>
              <w:rPr>
                <w:rFonts w:ascii="思源黑体 CN Bold" w:eastAsia="思源黑体 CN Bold" w:hint="eastAsia"/>
                <w:b/>
                <w:sz w:val="21"/>
              </w:rPr>
              <w:t>主要功能模块</w:t>
            </w:r>
          </w:p>
        </w:tc>
        <w:tc>
          <w:tcPr>
            <w:tcW w:w="994" w:type="dxa"/>
            <w:tcBorders>
              <w:left w:val="single" w:sz="4" w:space="0" w:color="000000"/>
              <w:right w:val="single" w:sz="4" w:space="0" w:color="000000"/>
            </w:tcBorders>
          </w:tcPr>
          <w:p>
            <w:pPr>
              <w:pStyle w:val="TableParagraph"/>
              <w:spacing w:line="151" w:lineRule="auto" w:before="19"/>
              <w:ind w:left="295" w:right="264"/>
              <w:rPr>
                <w:rFonts w:ascii="思源黑体 CN Bold" w:eastAsia="思源黑体 CN Bold" w:hint="eastAsia"/>
                <w:b/>
                <w:sz w:val="21"/>
              </w:rPr>
            </w:pPr>
            <w:r>
              <w:rPr>
                <w:rFonts w:ascii="思源黑体 CN Bold" w:eastAsia="思源黑体 CN Bold" w:hint="eastAsia"/>
                <w:b/>
                <w:sz w:val="21"/>
              </w:rPr>
              <w:t>奖补上限</w:t>
            </w:r>
          </w:p>
        </w:tc>
        <w:tc>
          <w:tcPr>
            <w:tcW w:w="1167" w:type="dxa"/>
            <w:tcBorders>
              <w:left w:val="single" w:sz="4" w:space="0" w:color="000000"/>
            </w:tcBorders>
          </w:tcPr>
          <w:p>
            <w:pPr>
              <w:pStyle w:val="TableParagraph"/>
              <w:spacing w:before="43"/>
              <w:ind w:left="381"/>
              <w:rPr>
                <w:rFonts w:ascii="思源黑体 CN Bold" w:eastAsia="思源黑体 CN Bold" w:hint="eastAsia"/>
                <w:b/>
                <w:sz w:val="21"/>
              </w:rPr>
            </w:pPr>
            <w:r>
              <w:rPr>
                <w:rFonts w:ascii="思源黑体 CN Bold" w:eastAsia="思源黑体 CN Bold" w:hint="eastAsia"/>
                <w:b/>
                <w:sz w:val="21"/>
              </w:rPr>
              <w:t>备注</w:t>
            </w:r>
          </w:p>
        </w:tc>
      </w:tr>
      <w:tr>
        <w:trPr>
          <w:trHeight w:val="937" w:hRule="atLeast"/>
        </w:trPr>
        <w:tc>
          <w:tcPr>
            <w:tcW w:w="636" w:type="dxa"/>
            <w:tcBorders>
              <w:right w:val="single" w:sz="4" w:space="0" w:color="000000"/>
            </w:tcBorders>
          </w:tcPr>
          <w:p>
            <w:pPr>
              <w:pStyle w:val="TableParagraph"/>
              <w:rPr>
                <w:rFonts w:ascii="Times New Roman"/>
                <w:sz w:val="20"/>
              </w:rPr>
            </w:pPr>
          </w:p>
        </w:tc>
        <w:tc>
          <w:tcPr>
            <w:tcW w:w="775" w:type="dxa"/>
            <w:tcBorders>
              <w:left w:val="single" w:sz="4" w:space="0" w:color="000000"/>
              <w:right w:val="single" w:sz="4" w:space="0" w:color="000000"/>
            </w:tcBorders>
          </w:tcPr>
          <w:p>
            <w:pPr>
              <w:pStyle w:val="TableParagraph"/>
              <w:rPr>
                <w:rFonts w:ascii="Times New Roman"/>
                <w:sz w:val="20"/>
              </w:rPr>
            </w:pPr>
          </w:p>
        </w:tc>
        <w:tc>
          <w:tcPr>
            <w:tcW w:w="1723" w:type="dxa"/>
            <w:tcBorders>
              <w:left w:val="single" w:sz="4" w:space="0" w:color="000000"/>
              <w:right w:val="single" w:sz="4" w:space="0" w:color="000000"/>
            </w:tcBorders>
          </w:tcPr>
          <w:p>
            <w:pPr>
              <w:pStyle w:val="TableParagraph"/>
              <w:rPr>
                <w:rFonts w:ascii="Times New Roman"/>
                <w:sz w:val="20"/>
              </w:rPr>
            </w:pPr>
          </w:p>
        </w:tc>
        <w:tc>
          <w:tcPr>
            <w:tcW w:w="5064" w:type="dxa"/>
            <w:tcBorders>
              <w:left w:val="single" w:sz="4" w:space="0" w:color="000000"/>
              <w:right w:val="single" w:sz="4" w:space="0" w:color="000000"/>
            </w:tcBorders>
          </w:tcPr>
          <w:p>
            <w:pPr>
              <w:pStyle w:val="TableParagraph"/>
              <w:spacing w:line="242" w:lineRule="auto" w:before="3"/>
              <w:ind w:left="117" w:right="83"/>
              <w:jc w:val="both"/>
              <w:rPr>
                <w:sz w:val="21"/>
              </w:rPr>
            </w:pPr>
            <w:r>
              <w:rPr>
                <w:sz w:val="21"/>
              </w:rPr>
              <w:t>定制生产工艺约束、标准规范制定，工艺要求、模拟试装等仿真，生成可转换的生产文件实现终端和工厂协同效率的大幅提升。</w:t>
            </w:r>
          </w:p>
        </w:tc>
        <w:tc>
          <w:tcPr>
            <w:tcW w:w="3708" w:type="dxa"/>
            <w:tcBorders>
              <w:left w:val="single" w:sz="4" w:space="0" w:color="000000"/>
              <w:right w:val="single" w:sz="4" w:space="0" w:color="000000"/>
            </w:tcBorders>
          </w:tcPr>
          <w:p>
            <w:pPr>
              <w:pStyle w:val="TableParagraph"/>
              <w:rPr>
                <w:rFonts w:ascii="Times New Roman"/>
                <w:sz w:val="20"/>
              </w:rPr>
            </w:pPr>
          </w:p>
        </w:tc>
        <w:tc>
          <w:tcPr>
            <w:tcW w:w="994" w:type="dxa"/>
            <w:tcBorders>
              <w:left w:val="single" w:sz="4" w:space="0" w:color="000000"/>
              <w:right w:val="single" w:sz="4" w:space="0" w:color="000000"/>
            </w:tcBorders>
          </w:tcPr>
          <w:p>
            <w:pPr>
              <w:pStyle w:val="TableParagraph"/>
              <w:rPr>
                <w:rFonts w:ascii="Times New Roman"/>
                <w:sz w:val="20"/>
              </w:rPr>
            </w:pPr>
          </w:p>
        </w:tc>
        <w:tc>
          <w:tcPr>
            <w:tcW w:w="1167" w:type="dxa"/>
            <w:tcBorders>
              <w:left w:val="single" w:sz="4" w:space="0" w:color="000000"/>
            </w:tcBorders>
          </w:tcPr>
          <w:p>
            <w:pPr>
              <w:pStyle w:val="TableParagraph"/>
              <w:rPr>
                <w:rFonts w:ascii="Times New Roman"/>
                <w:sz w:val="20"/>
              </w:rPr>
            </w:pPr>
          </w:p>
        </w:tc>
      </w:tr>
      <w:tr>
        <w:trPr>
          <w:trHeight w:val="937" w:hRule="atLeast"/>
        </w:trPr>
        <w:tc>
          <w:tcPr>
            <w:tcW w:w="636" w:type="dxa"/>
            <w:tcBorders>
              <w:bottom w:val="single" w:sz="4" w:space="0" w:color="000000"/>
              <w:right w:val="single" w:sz="4" w:space="0" w:color="000000"/>
            </w:tcBorders>
          </w:tcPr>
          <w:p>
            <w:pPr>
              <w:pStyle w:val="TableParagraph"/>
              <w:spacing w:before="4"/>
              <w:rPr>
                <w:rFonts w:ascii="Times New Roman"/>
                <w:sz w:val="24"/>
              </w:rPr>
            </w:pPr>
          </w:p>
          <w:p>
            <w:pPr>
              <w:pStyle w:val="TableParagraph"/>
              <w:spacing w:before="1"/>
              <w:ind w:left="107"/>
              <w:rPr>
                <w:rFonts w:ascii="Times New Roman"/>
                <w:sz w:val="21"/>
              </w:rPr>
            </w:pPr>
            <w:r>
              <w:rPr>
                <w:rFonts w:ascii="Times New Roman"/>
                <w:w w:val="100"/>
                <w:sz w:val="21"/>
              </w:rPr>
              <w:t>5</w:t>
            </w:r>
          </w:p>
        </w:tc>
        <w:tc>
          <w:tcPr>
            <w:tcW w:w="775" w:type="dxa"/>
            <w:vMerge w:val="restart"/>
            <w:tcBorders>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spacing w:line="244" w:lineRule="auto"/>
              <w:ind w:left="186" w:right="153"/>
              <w:rPr>
                <w:sz w:val="21"/>
              </w:rPr>
            </w:pPr>
            <w:r>
              <w:rPr>
                <w:sz w:val="21"/>
              </w:rPr>
              <w:t>生产管控</w:t>
            </w:r>
          </w:p>
        </w:tc>
        <w:tc>
          <w:tcPr>
            <w:tcW w:w="1723" w:type="dxa"/>
            <w:tcBorders>
              <w:left w:val="single" w:sz="4" w:space="0" w:color="000000"/>
              <w:bottom w:val="single" w:sz="4" w:space="0" w:color="000000"/>
              <w:right w:val="single" w:sz="4" w:space="0" w:color="000000"/>
            </w:tcBorders>
          </w:tcPr>
          <w:p>
            <w:pPr>
              <w:pStyle w:val="TableParagraph"/>
              <w:spacing w:before="9"/>
              <w:rPr>
                <w:rFonts w:ascii="Times New Roman"/>
                <w:sz w:val="23"/>
              </w:rPr>
            </w:pPr>
          </w:p>
          <w:p>
            <w:pPr>
              <w:pStyle w:val="TableParagraph"/>
              <w:ind w:left="221" w:right="190"/>
              <w:jc w:val="center"/>
              <w:rPr>
                <w:sz w:val="21"/>
              </w:rPr>
            </w:pPr>
            <w:r>
              <w:rPr>
                <w:sz w:val="21"/>
              </w:rPr>
              <w:t>设备物联</w:t>
            </w:r>
          </w:p>
        </w:tc>
        <w:tc>
          <w:tcPr>
            <w:tcW w:w="5064" w:type="dxa"/>
            <w:tcBorders>
              <w:left w:val="single" w:sz="4" w:space="0" w:color="000000"/>
              <w:bottom w:val="single" w:sz="4" w:space="0" w:color="000000"/>
              <w:right w:val="single" w:sz="4" w:space="0" w:color="000000"/>
            </w:tcBorders>
          </w:tcPr>
          <w:p>
            <w:pPr>
              <w:pStyle w:val="TableParagraph"/>
              <w:spacing w:line="242" w:lineRule="auto" w:before="3"/>
              <w:ind w:left="117" w:right="83"/>
              <w:jc w:val="both"/>
              <w:rPr>
                <w:sz w:val="21"/>
              </w:rPr>
            </w:pPr>
            <w:r>
              <w:rPr>
                <w:sz w:val="21"/>
              </w:rPr>
              <w:t>实现设备物联和实时数据采集，为生产计划、设备运维、绩效管理、工艺改进等提供基础数据支撑和深入分析。</w:t>
            </w:r>
          </w:p>
        </w:tc>
        <w:tc>
          <w:tcPr>
            <w:tcW w:w="3708" w:type="dxa"/>
            <w:tcBorders>
              <w:left w:val="single" w:sz="4" w:space="0" w:color="000000"/>
              <w:bottom w:val="single" w:sz="4" w:space="0" w:color="000000"/>
              <w:right w:val="single" w:sz="4" w:space="0" w:color="000000"/>
            </w:tcBorders>
          </w:tcPr>
          <w:p>
            <w:pPr>
              <w:pStyle w:val="TableParagraph"/>
              <w:spacing w:line="244" w:lineRule="auto" w:before="137"/>
              <w:ind w:left="117" w:right="38"/>
              <w:rPr>
                <w:sz w:val="21"/>
              </w:rPr>
            </w:pPr>
            <w:r>
              <w:rPr>
                <w:sz w:val="21"/>
              </w:rPr>
              <w:t>设备 </w:t>
            </w:r>
            <w:r>
              <w:rPr>
                <w:rFonts w:ascii="Times New Roman" w:eastAsia="Times New Roman"/>
                <w:sz w:val="21"/>
              </w:rPr>
              <w:t>OEE </w:t>
            </w:r>
            <w:r>
              <w:rPr>
                <w:sz w:val="21"/>
              </w:rPr>
              <w:t>分析、停机管理及分析、实时产量、运维管理等。</w:t>
            </w:r>
          </w:p>
        </w:tc>
        <w:tc>
          <w:tcPr>
            <w:tcW w:w="994" w:type="dxa"/>
            <w:tcBorders>
              <w:left w:val="single" w:sz="4" w:space="0" w:color="000000"/>
              <w:bottom w:val="single" w:sz="4" w:space="0" w:color="000000"/>
              <w:right w:val="single" w:sz="4" w:space="0" w:color="000000"/>
            </w:tcBorders>
          </w:tcPr>
          <w:p>
            <w:pPr>
              <w:pStyle w:val="TableParagraph"/>
              <w:spacing w:before="9"/>
              <w:rPr>
                <w:rFonts w:ascii="Times New Roman"/>
                <w:sz w:val="23"/>
              </w:rPr>
            </w:pPr>
          </w:p>
          <w:p>
            <w:pPr>
              <w:pStyle w:val="TableParagraph"/>
              <w:ind w:left="117"/>
              <w:rPr>
                <w:sz w:val="21"/>
              </w:rPr>
            </w:pPr>
            <w:r>
              <w:rPr>
                <w:rFonts w:ascii="Times New Roman" w:eastAsia="Times New Roman"/>
                <w:sz w:val="21"/>
              </w:rPr>
              <w:t>10 </w:t>
            </w:r>
            <w:r>
              <w:rPr>
                <w:sz w:val="21"/>
              </w:rPr>
              <w:t>万元</w:t>
            </w:r>
          </w:p>
        </w:tc>
        <w:tc>
          <w:tcPr>
            <w:tcW w:w="1167" w:type="dxa"/>
            <w:tcBorders>
              <w:left w:val="single" w:sz="4" w:space="0" w:color="000000"/>
              <w:bottom w:val="single" w:sz="4" w:space="0" w:color="000000"/>
            </w:tcBorders>
          </w:tcPr>
          <w:p>
            <w:pPr>
              <w:pStyle w:val="TableParagraph"/>
              <w:spacing w:before="137"/>
              <w:ind w:left="117"/>
              <w:rPr>
                <w:sz w:val="21"/>
              </w:rPr>
            </w:pPr>
            <w:r>
              <w:rPr>
                <w:sz w:val="21"/>
              </w:rPr>
              <w:t>每台设备</w:t>
            </w:r>
          </w:p>
          <w:p>
            <w:pPr>
              <w:pStyle w:val="TableParagraph"/>
              <w:spacing w:before="5"/>
              <w:ind w:left="117"/>
              <w:rPr>
                <w:sz w:val="21"/>
              </w:rPr>
            </w:pPr>
            <w:r>
              <w:rPr>
                <w:rFonts w:ascii="Times New Roman" w:eastAsia="Times New Roman"/>
                <w:sz w:val="21"/>
              </w:rPr>
              <w:t>1500 </w:t>
            </w:r>
            <w:r>
              <w:rPr>
                <w:sz w:val="21"/>
              </w:rPr>
              <w:t>元</w:t>
            </w:r>
          </w:p>
        </w:tc>
      </w:tr>
      <w:tr>
        <w:trPr>
          <w:trHeight w:val="3114" w:hRule="atLeast"/>
        </w:trPr>
        <w:tc>
          <w:tcPr>
            <w:tcW w:w="636" w:type="dxa"/>
            <w:tcBorders>
              <w:top w:val="single" w:sz="4" w:space="0" w:color="000000"/>
              <w:bottom w:val="single" w:sz="4" w:space="0" w:color="000000"/>
              <w:right w:val="single" w:sz="4"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31"/>
              </w:rPr>
            </w:pPr>
          </w:p>
          <w:p>
            <w:pPr>
              <w:pStyle w:val="TableParagraph"/>
              <w:ind w:left="107"/>
              <w:rPr>
                <w:rFonts w:ascii="Times New Roman"/>
                <w:sz w:val="21"/>
              </w:rPr>
            </w:pPr>
            <w:r>
              <w:rPr>
                <w:rFonts w:ascii="Times New Roman"/>
                <w:w w:val="100"/>
                <w:sz w:val="21"/>
              </w:rPr>
              <w:t>6</w:t>
            </w: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220" w:right="191"/>
              <w:jc w:val="center"/>
              <w:rPr>
                <w:sz w:val="21"/>
              </w:rPr>
            </w:pPr>
            <w:r>
              <w:rPr>
                <w:sz w:val="21"/>
              </w:rPr>
              <w:t>生产协同 Ⅰ</w:t>
            </w:r>
          </w:p>
        </w:tc>
        <w:tc>
          <w:tcPr>
            <w:tcW w:w="5064"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1"/>
              <w:ind w:left="117" w:right="-29"/>
              <w:rPr>
                <w:sz w:val="21"/>
              </w:rPr>
            </w:pPr>
            <w:r>
              <w:rPr>
                <w:spacing w:val="-8"/>
                <w:sz w:val="21"/>
              </w:rPr>
              <w:t>面向订单驱动型的的中小代工厂、组装厂、配套厂等， 实现生产过程的管理、协同和优化，有效提升企业交付能力，提升生产效率和良品率。包括：基于现场各工序、工位的作业数据采集、传递和统计分析，实现便捷、高效的沟通与协作，实现订单进度跟进及交期管理；基于工单、物料、周期、工序、品质等要素的数据监控和追溯，实现在制品、产量、良率、不良、</w:t>
            </w:r>
            <w:r>
              <w:rPr>
                <w:spacing w:val="-12"/>
                <w:sz w:val="21"/>
              </w:rPr>
              <w:t>生产周期等生产 </w:t>
            </w:r>
            <w:r>
              <w:rPr>
                <w:rFonts w:ascii="Times New Roman" w:eastAsia="Times New Roman"/>
                <w:sz w:val="21"/>
              </w:rPr>
              <w:t>KPI</w:t>
            </w:r>
            <w:r>
              <w:rPr>
                <w:rFonts w:ascii="Times New Roman" w:eastAsia="Times New Roman"/>
                <w:spacing w:val="1"/>
                <w:sz w:val="21"/>
              </w:rPr>
              <w:t> </w:t>
            </w:r>
            <w:r>
              <w:rPr>
                <w:spacing w:val="-4"/>
                <w:sz w:val="21"/>
              </w:rPr>
              <w:t>指标的自动统计分析，辅助进行</w:t>
            </w:r>
            <w:r>
              <w:rPr>
                <w:spacing w:val="-10"/>
                <w:sz w:val="21"/>
              </w:rPr>
              <w:t>针对性改善，提升管理效率和水平；基于产能、物料、实时工况、在制品时长、急单插单等因素，实现辅助</w:t>
            </w:r>
            <w:r>
              <w:rPr>
                <w:spacing w:val="-5"/>
                <w:sz w:val="21"/>
              </w:rPr>
              <w:t>排产优化，有效指导现场生产。</w:t>
            </w:r>
          </w:p>
        </w:tc>
        <w:tc>
          <w:tcPr>
            <w:tcW w:w="370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spacing w:before="5"/>
              <w:rPr>
                <w:rFonts w:ascii="Times New Roman"/>
                <w:sz w:val="27"/>
              </w:rPr>
            </w:pPr>
          </w:p>
          <w:p>
            <w:pPr>
              <w:pStyle w:val="TableParagraph"/>
              <w:spacing w:line="242" w:lineRule="auto"/>
              <w:ind w:left="117" w:right="-29"/>
              <w:rPr>
                <w:sz w:val="21"/>
              </w:rPr>
            </w:pPr>
            <w:r>
              <w:rPr>
                <w:spacing w:val="-22"/>
                <w:sz w:val="21"/>
              </w:rPr>
              <w:t>工厂建模、计划管理、生产作业管理</w:t>
            </w:r>
            <w:r>
              <w:rPr>
                <w:spacing w:val="-3"/>
                <w:sz w:val="21"/>
              </w:rPr>
              <w:t>（</w:t>
            </w:r>
            <w:r>
              <w:rPr>
                <w:sz w:val="21"/>
              </w:rPr>
              <w:t>包</w:t>
            </w:r>
            <w:r>
              <w:rPr>
                <w:spacing w:val="-11"/>
                <w:sz w:val="21"/>
              </w:rPr>
              <w:t>括生产工单、工序、订单工序、在制品管理、生产进度管理等</w:t>
            </w:r>
            <w:r>
              <w:rPr>
                <w:spacing w:val="-106"/>
                <w:sz w:val="21"/>
              </w:rPr>
              <w:t>）</w:t>
            </w:r>
            <w:r>
              <w:rPr>
                <w:sz w:val="21"/>
              </w:rPr>
              <w:t>、品质管理、</w:t>
            </w:r>
            <w:r>
              <w:rPr>
                <w:spacing w:val="-11"/>
                <w:sz w:val="21"/>
              </w:rPr>
              <w:t>异常处理、绩效管理、车间看板、统计</w:t>
            </w:r>
            <w:r>
              <w:rPr>
                <w:spacing w:val="-6"/>
                <w:sz w:val="21"/>
              </w:rPr>
              <w:t>分析等；部分具有进销存、供应管理、</w:t>
            </w:r>
            <w:r>
              <w:rPr>
                <w:spacing w:val="-11"/>
                <w:sz w:val="21"/>
              </w:rPr>
              <w:t>仓储或线边仓管理、</w:t>
            </w:r>
            <w:r>
              <w:rPr>
                <w:rFonts w:ascii="Times New Roman" w:eastAsia="Times New Roman"/>
                <w:sz w:val="21"/>
              </w:rPr>
              <w:t>E-SOP</w:t>
            </w:r>
            <w:r>
              <w:rPr>
                <w:spacing w:val="-14"/>
                <w:sz w:val="21"/>
              </w:rPr>
              <w:t>、条码管理、</w:t>
            </w:r>
            <w:r>
              <w:rPr>
                <w:spacing w:val="-7"/>
                <w:sz w:val="21"/>
              </w:rPr>
              <w:t>设备管理等功能。</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30"/>
              </w:rPr>
            </w:pPr>
          </w:p>
          <w:p>
            <w:pPr>
              <w:pStyle w:val="TableParagraph"/>
              <w:ind w:left="117"/>
              <w:rPr>
                <w:sz w:val="21"/>
              </w:rPr>
            </w:pPr>
            <w:r>
              <w:rPr>
                <w:rFonts w:ascii="Times New Roman" w:eastAsia="Times New Roman"/>
                <w:sz w:val="21"/>
              </w:rPr>
              <w:t>20 </w:t>
            </w:r>
            <w:r>
              <w:rPr>
                <w:sz w:val="21"/>
              </w:rPr>
              <w:t>万元</w:t>
            </w:r>
          </w:p>
        </w:tc>
        <w:tc>
          <w:tcPr>
            <w:tcW w:w="1167"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482" w:hRule="atLeast"/>
        </w:trPr>
        <w:tc>
          <w:tcPr>
            <w:tcW w:w="636" w:type="dxa"/>
            <w:tcBorders>
              <w:top w:val="single" w:sz="4" w:space="0" w:color="000000"/>
              <w:bottom w:val="single" w:sz="4" w:space="0" w:color="000000"/>
              <w:right w:val="single" w:sz="4" w:space="0" w:color="000000"/>
            </w:tcBorders>
          </w:tcPr>
          <w:p>
            <w:pPr>
              <w:pStyle w:val="TableParagraph"/>
              <w:rPr>
                <w:rFonts w:ascii="Times New Roman"/>
                <w:sz w:val="22"/>
              </w:rPr>
            </w:pPr>
          </w:p>
          <w:p>
            <w:pPr>
              <w:pStyle w:val="TableParagraph"/>
              <w:spacing w:before="2"/>
              <w:rPr>
                <w:rFonts w:ascii="Times New Roman"/>
                <w:sz w:val="26"/>
              </w:rPr>
            </w:pPr>
          </w:p>
          <w:p>
            <w:pPr>
              <w:pStyle w:val="TableParagraph"/>
              <w:spacing w:before="1"/>
              <w:ind w:left="107"/>
              <w:rPr>
                <w:rFonts w:ascii="Times New Roman"/>
                <w:sz w:val="21"/>
              </w:rPr>
            </w:pPr>
            <w:r>
              <w:rPr>
                <w:rFonts w:ascii="Times New Roman"/>
                <w:w w:val="100"/>
                <w:sz w:val="21"/>
              </w:rPr>
              <w:t>7</w:t>
            </w: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spacing w:before="7"/>
              <w:rPr>
                <w:rFonts w:ascii="Times New Roman"/>
                <w:sz w:val="27"/>
              </w:rPr>
            </w:pPr>
          </w:p>
          <w:p>
            <w:pPr>
              <w:pStyle w:val="TableParagraph"/>
              <w:ind w:left="220" w:right="191"/>
              <w:jc w:val="center"/>
              <w:rPr>
                <w:sz w:val="21"/>
              </w:rPr>
            </w:pPr>
            <w:r>
              <w:rPr>
                <w:sz w:val="21"/>
              </w:rPr>
              <w:t>生产协同 Ⅱ</w:t>
            </w:r>
          </w:p>
        </w:tc>
        <w:tc>
          <w:tcPr>
            <w:tcW w:w="5064"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3"/>
              <w:ind w:left="117" w:right="-29"/>
              <w:rPr>
                <w:sz w:val="21"/>
              </w:rPr>
            </w:pPr>
            <w:r>
              <w:rPr>
                <w:spacing w:val="-3"/>
                <w:sz w:val="21"/>
              </w:rPr>
              <w:t>在生产协同Ⅰ的基础上，面向运用自动化设备较多的场景，实现：基于设备物联，合理分配设备产能，提</w:t>
            </w:r>
            <w:r>
              <w:rPr>
                <w:spacing w:val="-2"/>
                <w:sz w:val="21"/>
              </w:rPr>
              <w:t>高计划可执行性；精准计算设备及全厂</w:t>
            </w:r>
            <w:r>
              <w:rPr>
                <w:rFonts w:ascii="Times New Roman" w:hAnsi="Times New Roman" w:eastAsia="Times New Roman"/>
                <w:spacing w:val="-4"/>
                <w:sz w:val="21"/>
              </w:rPr>
              <w:t>OEE</w:t>
            </w:r>
            <w:r>
              <w:rPr>
                <w:spacing w:val="-3"/>
                <w:sz w:val="21"/>
              </w:rPr>
              <w:t>，快速定</w:t>
            </w:r>
            <w:r>
              <w:rPr>
                <w:spacing w:val="-15"/>
                <w:sz w:val="21"/>
              </w:rPr>
              <w:t>位问题环节，提高设备、模具</w:t>
            </w:r>
            <w:r>
              <w:rPr>
                <w:rFonts w:ascii="Times New Roman" w:hAnsi="Times New Roman" w:eastAsia="Times New Roman"/>
                <w:sz w:val="21"/>
              </w:rPr>
              <w:t>/</w:t>
            </w:r>
            <w:r>
              <w:rPr>
                <w:sz w:val="21"/>
              </w:rPr>
              <w:t>夹具</w:t>
            </w:r>
            <w:r>
              <w:rPr>
                <w:rFonts w:ascii="Times New Roman" w:hAnsi="Times New Roman" w:eastAsia="Times New Roman"/>
                <w:sz w:val="21"/>
              </w:rPr>
              <w:t>/</w:t>
            </w:r>
            <w:r>
              <w:rPr>
                <w:spacing w:val="-11"/>
                <w:sz w:val="21"/>
              </w:rPr>
              <w:t>治具、及人员绩效； </w:t>
            </w:r>
            <w:r>
              <w:rPr>
                <w:spacing w:val="-6"/>
                <w:sz w:val="21"/>
              </w:rPr>
              <w:t>加强设备的运维管理，减少非计划停机。</w:t>
            </w:r>
          </w:p>
        </w:tc>
        <w:tc>
          <w:tcPr>
            <w:tcW w:w="3708"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Times New Roman"/>
                <w:sz w:val="23"/>
              </w:rPr>
            </w:pPr>
          </w:p>
          <w:p>
            <w:pPr>
              <w:pStyle w:val="TableParagraph"/>
              <w:spacing w:line="242" w:lineRule="auto"/>
              <w:ind w:left="117" w:right="83"/>
              <w:jc w:val="both"/>
              <w:rPr>
                <w:sz w:val="21"/>
              </w:rPr>
            </w:pPr>
            <w:r>
              <w:rPr>
                <w:spacing w:val="-9"/>
                <w:sz w:val="21"/>
              </w:rPr>
              <w:t>在生产协同Ⅰ的基础上，增加设备</w:t>
            </w:r>
            <w:r>
              <w:rPr>
                <w:rFonts w:ascii="Times New Roman" w:hAnsi="Times New Roman" w:eastAsia="Times New Roman"/>
                <w:sz w:val="21"/>
              </w:rPr>
              <w:t>OEE </w:t>
            </w:r>
            <w:r>
              <w:rPr>
                <w:spacing w:val="-11"/>
                <w:sz w:val="21"/>
              </w:rPr>
              <w:t>分析、停机管理及分析、实时产量、设</w:t>
            </w:r>
            <w:r>
              <w:rPr>
                <w:spacing w:val="-6"/>
                <w:sz w:val="21"/>
              </w:rPr>
              <w:t>备运维管理等功能。</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p>
            <w:pPr>
              <w:pStyle w:val="TableParagraph"/>
              <w:spacing w:before="7"/>
              <w:rPr>
                <w:rFonts w:ascii="Times New Roman"/>
                <w:sz w:val="25"/>
              </w:rPr>
            </w:pPr>
          </w:p>
          <w:p>
            <w:pPr>
              <w:pStyle w:val="TableParagraph"/>
              <w:ind w:left="117"/>
              <w:rPr>
                <w:sz w:val="21"/>
              </w:rPr>
            </w:pPr>
            <w:r>
              <w:rPr>
                <w:rFonts w:ascii="Times New Roman" w:eastAsia="Times New Roman"/>
                <w:sz w:val="21"/>
              </w:rPr>
              <w:t>25 </w:t>
            </w:r>
            <w:r>
              <w:rPr>
                <w:sz w:val="21"/>
              </w:rPr>
              <w:t>万元</w:t>
            </w:r>
          </w:p>
        </w:tc>
        <w:tc>
          <w:tcPr>
            <w:tcW w:w="1167"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482" w:hRule="atLeast"/>
        </w:trPr>
        <w:tc>
          <w:tcPr>
            <w:tcW w:w="636" w:type="dxa"/>
            <w:tcBorders>
              <w:top w:val="single" w:sz="4" w:space="0" w:color="000000"/>
              <w:bottom w:val="single" w:sz="4" w:space="0" w:color="000000"/>
              <w:right w:val="single" w:sz="4" w:space="0" w:color="000000"/>
            </w:tcBorders>
          </w:tcPr>
          <w:p>
            <w:pPr>
              <w:pStyle w:val="TableParagraph"/>
              <w:rPr>
                <w:rFonts w:ascii="Times New Roman"/>
                <w:sz w:val="22"/>
              </w:rPr>
            </w:pPr>
          </w:p>
          <w:p>
            <w:pPr>
              <w:pStyle w:val="TableParagraph"/>
              <w:rPr>
                <w:rFonts w:ascii="Times New Roman"/>
                <w:sz w:val="26"/>
              </w:rPr>
            </w:pPr>
          </w:p>
          <w:p>
            <w:pPr>
              <w:pStyle w:val="TableParagraph"/>
              <w:ind w:left="107"/>
              <w:rPr>
                <w:rFonts w:ascii="Times New Roman"/>
                <w:sz w:val="21"/>
              </w:rPr>
            </w:pPr>
            <w:r>
              <w:rPr>
                <w:rFonts w:ascii="Times New Roman"/>
                <w:w w:val="100"/>
                <w:sz w:val="21"/>
              </w:rPr>
              <w:t>8</w:t>
            </w: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p>
            <w:pPr>
              <w:pStyle w:val="TableParagraph"/>
              <w:spacing w:before="5"/>
              <w:rPr>
                <w:rFonts w:ascii="Times New Roman"/>
                <w:sz w:val="25"/>
              </w:rPr>
            </w:pPr>
          </w:p>
          <w:p>
            <w:pPr>
              <w:pStyle w:val="TableParagraph"/>
              <w:ind w:left="218" w:right="191"/>
              <w:jc w:val="center"/>
              <w:rPr>
                <w:rFonts w:ascii="Times New Roman" w:eastAsia="Times New Roman"/>
                <w:sz w:val="21"/>
              </w:rPr>
            </w:pPr>
            <w:r>
              <w:rPr>
                <w:sz w:val="21"/>
              </w:rPr>
              <w:t>生产协同 </w:t>
            </w:r>
            <w:r>
              <w:rPr>
                <w:rFonts w:ascii="Times New Roman" w:eastAsia="Times New Roman"/>
                <w:sz w:val="21"/>
              </w:rPr>
              <w:t>III</w:t>
            </w:r>
          </w:p>
        </w:tc>
        <w:tc>
          <w:tcPr>
            <w:tcW w:w="5064"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61"/>
              <w:ind w:left="117" w:right="-29"/>
              <w:rPr>
                <w:sz w:val="21"/>
              </w:rPr>
            </w:pPr>
            <w:r>
              <w:rPr>
                <w:spacing w:val="-3"/>
                <w:sz w:val="21"/>
              </w:rPr>
              <w:t>面向零数字化基础</w:t>
            </w:r>
            <w:r>
              <w:rPr>
                <w:rFonts w:ascii="Times New Roman" w:eastAsia="Times New Roman"/>
                <w:sz w:val="21"/>
              </w:rPr>
              <w:t>(</w:t>
            </w:r>
            <w:r>
              <w:rPr>
                <w:spacing w:val="48"/>
                <w:sz w:val="21"/>
              </w:rPr>
              <w:t>无</w:t>
            </w:r>
            <w:r>
              <w:rPr>
                <w:rFonts w:ascii="Times New Roman" w:eastAsia="Times New Roman"/>
                <w:sz w:val="21"/>
              </w:rPr>
              <w:t>ERP</w:t>
            </w:r>
            <w:r>
              <w:rPr>
                <w:spacing w:val="-16"/>
                <w:sz w:val="21"/>
              </w:rPr>
              <w:t>、无管理标准化</w:t>
            </w:r>
            <w:r>
              <w:rPr>
                <w:spacing w:val="-89"/>
                <w:sz w:val="21"/>
              </w:rPr>
              <w:t>）</w:t>
            </w:r>
            <w:r>
              <w:rPr>
                <w:spacing w:val="-2"/>
                <w:sz w:val="21"/>
              </w:rPr>
              <w:t>的短工序、</w:t>
            </w:r>
            <w:r>
              <w:rPr>
                <w:spacing w:val="-3"/>
                <w:sz w:val="21"/>
              </w:rPr>
              <w:t>品类单一、重资产配件加工、来料加工工厂，基于交互式智能终端反馈关键节点数据</w:t>
            </w:r>
            <w:r>
              <w:rPr>
                <w:sz w:val="21"/>
              </w:rPr>
              <w:t>（</w:t>
            </w:r>
            <w:r>
              <w:rPr>
                <w:spacing w:val="-2"/>
                <w:sz w:val="21"/>
              </w:rPr>
              <w:t>最小实施单元为单台装备）</w:t>
            </w:r>
            <w:r>
              <w:rPr>
                <w:spacing w:val="-3"/>
                <w:sz w:val="21"/>
              </w:rPr>
              <w:t>的方式，构建企业数据超市，提升企业响应速度，帮助企业管理者实时掌握关键运营数据，如订</w:t>
            </w:r>
          </w:p>
        </w:tc>
        <w:tc>
          <w:tcPr>
            <w:tcW w:w="3708" w:type="dxa"/>
            <w:tcBorders>
              <w:top w:val="single" w:sz="4" w:space="0" w:color="000000"/>
              <w:left w:val="single" w:sz="4" w:space="0" w:color="000000"/>
              <w:bottom w:val="single" w:sz="4" w:space="0" w:color="000000"/>
              <w:right w:val="single" w:sz="4" w:space="0" w:color="000000"/>
            </w:tcBorders>
          </w:tcPr>
          <w:p>
            <w:pPr>
              <w:pStyle w:val="TableParagraph"/>
              <w:spacing w:before="1"/>
              <w:ind w:left="117"/>
              <w:rPr>
                <w:sz w:val="21"/>
              </w:rPr>
            </w:pPr>
            <w:r>
              <w:rPr>
                <w:sz w:val="21"/>
              </w:rPr>
              <w:t>交互式智能终端， 管理基础数字化</w:t>
            </w:r>
          </w:p>
          <w:p>
            <w:pPr>
              <w:pStyle w:val="TableParagraph"/>
              <w:spacing w:line="242" w:lineRule="auto" w:before="4"/>
              <w:ind w:left="117" w:right="2"/>
              <w:rPr>
                <w:sz w:val="21"/>
              </w:rPr>
            </w:pPr>
            <w:r>
              <w:rPr>
                <w:sz w:val="21"/>
              </w:rPr>
              <w:t>（</w:t>
            </w:r>
            <w:r>
              <w:rPr>
                <w:rFonts w:ascii="Times New Roman" w:eastAsia="Times New Roman"/>
                <w:sz w:val="21"/>
              </w:rPr>
              <w:t>BOM </w:t>
            </w:r>
            <w:r>
              <w:rPr>
                <w:spacing w:val="-3"/>
                <w:sz w:val="21"/>
              </w:rPr>
              <w:t>管理，工艺流程建档，模具台</w:t>
            </w:r>
            <w:r>
              <w:rPr>
                <w:w w:val="100"/>
                <w:sz w:val="21"/>
              </w:rPr>
              <w:t>帐等</w:t>
            </w:r>
            <w:r>
              <w:rPr>
                <w:spacing w:val="-106"/>
                <w:w w:val="100"/>
                <w:sz w:val="21"/>
              </w:rPr>
              <w:t>）</w:t>
            </w:r>
            <w:r>
              <w:rPr>
                <w:spacing w:val="-1"/>
                <w:w w:val="100"/>
                <w:sz w:val="21"/>
              </w:rPr>
              <w:t>，订单分发与追踪，关键品质追</w:t>
            </w:r>
            <w:r>
              <w:rPr>
                <w:spacing w:val="-3"/>
                <w:sz w:val="21"/>
              </w:rPr>
              <w:t>溯与预警，关键工艺指标反馈与预警， 外协订单追踪，设备运维预警等。</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p>
            <w:pPr>
              <w:pStyle w:val="TableParagraph"/>
              <w:spacing w:before="5"/>
              <w:rPr>
                <w:rFonts w:ascii="Times New Roman"/>
                <w:sz w:val="25"/>
              </w:rPr>
            </w:pPr>
          </w:p>
          <w:p>
            <w:pPr>
              <w:pStyle w:val="TableParagraph"/>
              <w:ind w:left="117"/>
              <w:rPr>
                <w:sz w:val="21"/>
              </w:rPr>
            </w:pPr>
            <w:r>
              <w:rPr>
                <w:rFonts w:ascii="Times New Roman" w:eastAsia="Times New Roman"/>
                <w:sz w:val="21"/>
              </w:rPr>
              <w:t>15 </w:t>
            </w:r>
            <w:r>
              <w:rPr>
                <w:sz w:val="21"/>
              </w:rPr>
              <w:t>万元</w:t>
            </w:r>
          </w:p>
        </w:tc>
        <w:tc>
          <w:tcPr>
            <w:tcW w:w="1167" w:type="dxa"/>
            <w:tcBorders>
              <w:top w:val="single" w:sz="4" w:space="0" w:color="000000"/>
              <w:left w:val="single" w:sz="4" w:space="0" w:color="000000"/>
              <w:bottom w:val="single" w:sz="4" w:space="0" w:color="000000"/>
            </w:tcBorders>
          </w:tcPr>
          <w:p>
            <w:pPr>
              <w:pStyle w:val="TableParagraph"/>
              <w:rPr>
                <w:rFonts w:ascii="Times New Roman"/>
                <w:sz w:val="20"/>
              </w:rPr>
            </w:pPr>
          </w:p>
        </w:tc>
      </w:tr>
    </w:tbl>
    <w:p>
      <w:pPr>
        <w:spacing w:after="0"/>
        <w:rPr>
          <w:rFonts w:ascii="Times New Roman"/>
          <w:sz w:val="20"/>
        </w:rPr>
        <w:sectPr>
          <w:pgSz w:w="16840" w:h="11900" w:orient="landscape"/>
          <w:pgMar w:header="0" w:footer="1237" w:top="1100" w:bottom="1420" w:left="1320" w:right="1200"/>
        </w:sectPr>
      </w:pPr>
    </w:p>
    <w:p>
      <w:pPr>
        <w:pStyle w:val="BodyText"/>
        <w:rPr>
          <w:rFonts w:ascii="Times New Roman"/>
          <w:sz w:val="20"/>
        </w:rPr>
      </w:pPr>
    </w:p>
    <w:p>
      <w:pPr>
        <w:pStyle w:val="BodyText"/>
        <w:spacing w:before="5" w:after="1"/>
        <w:rPr>
          <w:rFonts w:ascii="Times New Roman"/>
          <w:sz w:val="22"/>
        </w:rPr>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36"/>
        <w:gridCol w:w="775"/>
        <w:gridCol w:w="1723"/>
        <w:gridCol w:w="5064"/>
        <w:gridCol w:w="3708"/>
        <w:gridCol w:w="994"/>
        <w:gridCol w:w="1167"/>
      </w:tblGrid>
      <w:tr>
        <w:trPr>
          <w:trHeight w:val="663" w:hRule="atLeast"/>
        </w:trPr>
        <w:tc>
          <w:tcPr>
            <w:tcW w:w="636" w:type="dxa"/>
            <w:tcBorders>
              <w:right w:val="single" w:sz="4" w:space="0" w:color="000000"/>
            </w:tcBorders>
          </w:tcPr>
          <w:p>
            <w:pPr>
              <w:pStyle w:val="TableParagraph"/>
              <w:spacing w:line="151" w:lineRule="auto" w:before="19"/>
              <w:ind w:left="210" w:right="192"/>
              <w:rPr>
                <w:rFonts w:ascii="思源黑体 CN Bold" w:eastAsia="思源黑体 CN Bold" w:hint="eastAsia"/>
                <w:b/>
                <w:sz w:val="21"/>
              </w:rPr>
            </w:pPr>
            <w:r>
              <w:rPr>
                <w:rFonts w:ascii="思源黑体 CN Bold" w:eastAsia="思源黑体 CN Bold" w:hint="eastAsia"/>
                <w:b/>
                <w:sz w:val="21"/>
              </w:rPr>
              <w:t>序号</w:t>
            </w:r>
          </w:p>
        </w:tc>
        <w:tc>
          <w:tcPr>
            <w:tcW w:w="775" w:type="dxa"/>
            <w:tcBorders>
              <w:left w:val="single" w:sz="4" w:space="0" w:color="000000"/>
              <w:right w:val="single" w:sz="4" w:space="0" w:color="000000"/>
            </w:tcBorders>
          </w:tcPr>
          <w:p>
            <w:pPr>
              <w:pStyle w:val="TableParagraph"/>
              <w:spacing w:line="151" w:lineRule="auto" w:before="19"/>
              <w:ind w:left="184" w:right="155"/>
              <w:rPr>
                <w:rFonts w:ascii="思源黑体 CN Bold" w:eastAsia="思源黑体 CN Bold" w:hint="eastAsia"/>
                <w:b/>
                <w:sz w:val="21"/>
              </w:rPr>
            </w:pPr>
            <w:r>
              <w:rPr>
                <w:rFonts w:ascii="思源黑体 CN Bold" w:eastAsia="思源黑体 CN Bold" w:hint="eastAsia"/>
                <w:b/>
                <w:sz w:val="21"/>
              </w:rPr>
              <w:t>一级目录</w:t>
            </w:r>
          </w:p>
        </w:tc>
        <w:tc>
          <w:tcPr>
            <w:tcW w:w="1723" w:type="dxa"/>
            <w:tcBorders>
              <w:left w:val="single" w:sz="4" w:space="0" w:color="000000"/>
              <w:right w:val="single" w:sz="4" w:space="0" w:color="000000"/>
            </w:tcBorders>
          </w:tcPr>
          <w:p>
            <w:pPr>
              <w:pStyle w:val="TableParagraph"/>
              <w:spacing w:before="43"/>
              <w:ind w:left="220" w:right="191"/>
              <w:jc w:val="center"/>
              <w:rPr>
                <w:rFonts w:ascii="思源黑体 CN Bold" w:eastAsia="思源黑体 CN Bold" w:hint="eastAsia"/>
                <w:b/>
                <w:sz w:val="21"/>
              </w:rPr>
            </w:pPr>
            <w:r>
              <w:rPr>
                <w:rFonts w:ascii="思源黑体 CN Bold" w:eastAsia="思源黑体 CN Bold" w:hint="eastAsia"/>
                <w:b/>
                <w:sz w:val="21"/>
              </w:rPr>
              <w:t>二级目录</w:t>
            </w:r>
          </w:p>
        </w:tc>
        <w:tc>
          <w:tcPr>
            <w:tcW w:w="5064" w:type="dxa"/>
            <w:tcBorders>
              <w:left w:val="single" w:sz="4" w:space="0" w:color="000000"/>
              <w:right w:val="single" w:sz="4" w:space="0" w:color="000000"/>
            </w:tcBorders>
          </w:tcPr>
          <w:p>
            <w:pPr>
              <w:pStyle w:val="TableParagraph"/>
              <w:spacing w:before="43"/>
              <w:ind w:left="1891" w:right="1862"/>
              <w:jc w:val="center"/>
              <w:rPr>
                <w:rFonts w:ascii="思源黑体 CN Bold" w:eastAsia="思源黑体 CN Bold" w:hint="eastAsia"/>
                <w:b/>
                <w:sz w:val="21"/>
              </w:rPr>
            </w:pPr>
            <w:r>
              <w:rPr>
                <w:rFonts w:ascii="思源黑体 CN Bold" w:eastAsia="思源黑体 CN Bold" w:hint="eastAsia"/>
                <w:b/>
                <w:sz w:val="21"/>
              </w:rPr>
              <w:t>主要应用场景</w:t>
            </w:r>
          </w:p>
        </w:tc>
        <w:tc>
          <w:tcPr>
            <w:tcW w:w="3708" w:type="dxa"/>
            <w:tcBorders>
              <w:left w:val="single" w:sz="4" w:space="0" w:color="000000"/>
              <w:right w:val="single" w:sz="4" w:space="0" w:color="000000"/>
            </w:tcBorders>
          </w:tcPr>
          <w:p>
            <w:pPr>
              <w:pStyle w:val="TableParagraph"/>
              <w:spacing w:before="43"/>
              <w:ind w:left="1231"/>
              <w:rPr>
                <w:rFonts w:ascii="思源黑体 CN Bold" w:eastAsia="思源黑体 CN Bold" w:hint="eastAsia"/>
                <w:b/>
                <w:sz w:val="21"/>
              </w:rPr>
            </w:pPr>
            <w:r>
              <w:rPr>
                <w:rFonts w:ascii="思源黑体 CN Bold" w:eastAsia="思源黑体 CN Bold" w:hint="eastAsia"/>
                <w:b/>
                <w:sz w:val="21"/>
              </w:rPr>
              <w:t>主要功能模块</w:t>
            </w:r>
          </w:p>
        </w:tc>
        <w:tc>
          <w:tcPr>
            <w:tcW w:w="994" w:type="dxa"/>
            <w:tcBorders>
              <w:left w:val="single" w:sz="4" w:space="0" w:color="000000"/>
              <w:right w:val="single" w:sz="4" w:space="0" w:color="000000"/>
            </w:tcBorders>
          </w:tcPr>
          <w:p>
            <w:pPr>
              <w:pStyle w:val="TableParagraph"/>
              <w:spacing w:line="151" w:lineRule="auto" w:before="19"/>
              <w:ind w:left="295" w:right="264"/>
              <w:rPr>
                <w:rFonts w:ascii="思源黑体 CN Bold" w:eastAsia="思源黑体 CN Bold" w:hint="eastAsia"/>
                <w:b/>
                <w:sz w:val="21"/>
              </w:rPr>
            </w:pPr>
            <w:r>
              <w:rPr>
                <w:rFonts w:ascii="思源黑体 CN Bold" w:eastAsia="思源黑体 CN Bold" w:hint="eastAsia"/>
                <w:b/>
                <w:sz w:val="21"/>
              </w:rPr>
              <w:t>奖补上限</w:t>
            </w:r>
          </w:p>
        </w:tc>
        <w:tc>
          <w:tcPr>
            <w:tcW w:w="1167" w:type="dxa"/>
            <w:tcBorders>
              <w:left w:val="single" w:sz="4" w:space="0" w:color="000000"/>
            </w:tcBorders>
          </w:tcPr>
          <w:p>
            <w:pPr>
              <w:pStyle w:val="TableParagraph"/>
              <w:spacing w:before="43"/>
              <w:ind w:left="381"/>
              <w:rPr>
                <w:rFonts w:ascii="思源黑体 CN Bold" w:eastAsia="思源黑体 CN Bold" w:hint="eastAsia"/>
                <w:b/>
                <w:sz w:val="21"/>
              </w:rPr>
            </w:pPr>
            <w:r>
              <w:rPr>
                <w:rFonts w:ascii="思源黑体 CN Bold" w:eastAsia="思源黑体 CN Bold" w:hint="eastAsia"/>
                <w:b/>
                <w:sz w:val="21"/>
              </w:rPr>
              <w:t>备注</w:t>
            </w:r>
          </w:p>
        </w:tc>
      </w:tr>
      <w:tr>
        <w:trPr>
          <w:trHeight w:val="267" w:hRule="atLeast"/>
        </w:trPr>
        <w:tc>
          <w:tcPr>
            <w:tcW w:w="636" w:type="dxa"/>
            <w:vMerge w:val="restart"/>
            <w:tcBorders>
              <w:bottom w:val="single" w:sz="4" w:space="0" w:color="000000"/>
              <w:right w:val="single" w:sz="4" w:space="0" w:color="000000"/>
            </w:tcBorders>
          </w:tcPr>
          <w:p>
            <w:pPr>
              <w:pStyle w:val="TableParagraph"/>
              <w:rPr>
                <w:rFonts w:ascii="Times New Roman"/>
                <w:sz w:val="20"/>
              </w:rPr>
            </w:pPr>
          </w:p>
        </w:tc>
        <w:tc>
          <w:tcPr>
            <w:tcW w:w="775" w:type="dxa"/>
            <w:vMerge w:val="restart"/>
            <w:tcBorders>
              <w:left w:val="single" w:sz="4" w:space="0" w:color="000000"/>
              <w:bottom w:val="single" w:sz="4" w:space="0" w:color="000000"/>
              <w:right w:val="single" w:sz="4" w:space="0" w:color="000000"/>
            </w:tcBorders>
          </w:tcPr>
          <w:p>
            <w:pPr>
              <w:pStyle w:val="TableParagraph"/>
              <w:rPr>
                <w:rFonts w:ascii="Times New Roman"/>
                <w:sz w:val="20"/>
              </w:rPr>
            </w:pPr>
          </w:p>
        </w:tc>
        <w:tc>
          <w:tcPr>
            <w:tcW w:w="1723" w:type="dxa"/>
            <w:vMerge w:val="restart"/>
            <w:tcBorders>
              <w:left w:val="single" w:sz="4" w:space="0" w:color="000000"/>
              <w:bottom w:val="single" w:sz="4" w:space="0" w:color="000000"/>
              <w:right w:val="single" w:sz="4" w:space="0" w:color="000000"/>
            </w:tcBorders>
          </w:tcPr>
          <w:p>
            <w:pPr>
              <w:pStyle w:val="TableParagraph"/>
              <w:rPr>
                <w:rFonts w:ascii="Times New Roman"/>
                <w:sz w:val="20"/>
              </w:rPr>
            </w:pPr>
          </w:p>
        </w:tc>
        <w:tc>
          <w:tcPr>
            <w:tcW w:w="5064" w:type="dxa"/>
            <w:tcBorders>
              <w:left w:val="single" w:sz="4" w:space="0" w:color="000000"/>
              <w:bottom w:val="nil"/>
              <w:right w:val="single" w:sz="4" w:space="0" w:color="000000"/>
            </w:tcBorders>
          </w:tcPr>
          <w:p>
            <w:pPr>
              <w:pStyle w:val="TableParagraph"/>
              <w:spacing w:line="245" w:lineRule="exact" w:before="3"/>
              <w:ind w:left="117" w:right="-29"/>
              <w:rPr>
                <w:sz w:val="21"/>
              </w:rPr>
            </w:pPr>
            <w:r>
              <w:rPr>
                <w:spacing w:val="-11"/>
                <w:sz w:val="21"/>
              </w:rPr>
              <w:t>单状态、产量实时数据、关键工艺指标、品控节点等，</w:t>
            </w:r>
          </w:p>
        </w:tc>
        <w:tc>
          <w:tcPr>
            <w:tcW w:w="3708" w:type="dxa"/>
            <w:tcBorders>
              <w:left w:val="single" w:sz="4" w:space="0" w:color="000000"/>
              <w:bottom w:val="nil"/>
              <w:right w:val="single" w:sz="4" w:space="0" w:color="000000"/>
            </w:tcBorders>
          </w:tcPr>
          <w:p>
            <w:pPr>
              <w:pStyle w:val="TableParagraph"/>
              <w:spacing w:line="245" w:lineRule="exact" w:before="3"/>
              <w:ind w:left="117"/>
              <w:rPr>
                <w:sz w:val="21"/>
              </w:rPr>
            </w:pPr>
            <w:r>
              <w:rPr>
                <w:sz w:val="21"/>
              </w:rPr>
              <w:t>可实现延展功能如计件工资在线统计、</w:t>
            </w:r>
          </w:p>
        </w:tc>
        <w:tc>
          <w:tcPr>
            <w:tcW w:w="994" w:type="dxa"/>
            <w:vMerge w:val="restart"/>
            <w:tcBorders>
              <w:left w:val="single" w:sz="4" w:space="0" w:color="000000"/>
              <w:bottom w:val="single" w:sz="4" w:space="0" w:color="000000"/>
              <w:right w:val="single" w:sz="4" w:space="0" w:color="000000"/>
            </w:tcBorders>
          </w:tcPr>
          <w:p>
            <w:pPr>
              <w:pStyle w:val="TableParagraph"/>
              <w:rPr>
                <w:rFonts w:ascii="Times New Roman"/>
                <w:sz w:val="20"/>
              </w:rPr>
            </w:pPr>
          </w:p>
        </w:tc>
        <w:tc>
          <w:tcPr>
            <w:tcW w:w="1167" w:type="dxa"/>
            <w:vMerge w:val="restart"/>
            <w:tcBorders>
              <w:left w:val="single" w:sz="4" w:space="0" w:color="000000"/>
              <w:bottom w:val="single" w:sz="4" w:space="0" w:color="000000"/>
            </w:tcBorders>
          </w:tcPr>
          <w:p>
            <w:pPr>
              <w:pStyle w:val="TableParagraph"/>
              <w:rPr>
                <w:rFonts w:ascii="Times New Roman"/>
                <w:sz w:val="20"/>
              </w:rPr>
            </w:pPr>
          </w:p>
        </w:tc>
      </w:tr>
      <w:tr>
        <w:trPr>
          <w:trHeight w:val="259" w:hRule="atLeast"/>
        </w:trPr>
        <w:tc>
          <w:tcPr>
            <w:tcW w:w="636" w:type="dxa"/>
            <w:vMerge/>
            <w:tcBorders>
              <w:top w:val="nil"/>
              <w:bottom w:val="single" w:sz="4" w:space="0" w:color="000000"/>
              <w:right w:val="single" w:sz="4" w:space="0" w:color="000000"/>
            </w:tcBorders>
          </w:tcPr>
          <w:p>
            <w:pPr>
              <w:rPr>
                <w:sz w:val="2"/>
                <w:szCs w:val="2"/>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vMerge/>
            <w:tcBorders>
              <w:top w:val="nil"/>
              <w:left w:val="single" w:sz="4" w:space="0" w:color="000000"/>
              <w:bottom w:val="single" w:sz="4" w:space="0" w:color="000000"/>
              <w:right w:val="single" w:sz="4" w:space="0" w:color="000000"/>
            </w:tcBorders>
          </w:tcPr>
          <w:p>
            <w:pPr>
              <w:rPr>
                <w:sz w:val="2"/>
                <w:szCs w:val="2"/>
              </w:rPr>
            </w:pPr>
          </w:p>
        </w:tc>
        <w:tc>
          <w:tcPr>
            <w:tcW w:w="5064" w:type="dxa"/>
            <w:tcBorders>
              <w:top w:val="nil"/>
              <w:left w:val="single" w:sz="4" w:space="0" w:color="000000"/>
              <w:bottom w:val="nil"/>
              <w:right w:val="single" w:sz="4" w:space="0" w:color="000000"/>
            </w:tcBorders>
          </w:tcPr>
          <w:p>
            <w:pPr>
              <w:pStyle w:val="TableParagraph"/>
              <w:spacing w:line="239" w:lineRule="exact"/>
              <w:ind w:left="117" w:right="-29"/>
              <w:rPr>
                <w:sz w:val="21"/>
              </w:rPr>
            </w:pPr>
            <w:r>
              <w:rPr>
                <w:spacing w:val="-10"/>
                <w:sz w:val="21"/>
              </w:rPr>
              <w:t>辅助管理者快速进行生产调度、针对性指导现场生产。</w:t>
            </w:r>
          </w:p>
        </w:tc>
        <w:tc>
          <w:tcPr>
            <w:tcW w:w="3708" w:type="dxa"/>
            <w:tcBorders>
              <w:top w:val="nil"/>
              <w:left w:val="single" w:sz="4" w:space="0" w:color="000000"/>
              <w:bottom w:val="nil"/>
              <w:right w:val="single" w:sz="4" w:space="0" w:color="000000"/>
            </w:tcBorders>
          </w:tcPr>
          <w:p>
            <w:pPr>
              <w:pStyle w:val="TableParagraph"/>
              <w:spacing w:line="239" w:lineRule="exact"/>
              <w:ind w:left="117"/>
              <w:rPr>
                <w:sz w:val="21"/>
              </w:rPr>
            </w:pPr>
            <w:r>
              <w:rPr>
                <w:sz w:val="21"/>
              </w:rPr>
              <w:t>人脸识别等，数据挖掘功能如自动生成</w:t>
            </w:r>
          </w:p>
        </w:tc>
        <w:tc>
          <w:tcPr>
            <w:tcW w:w="994" w:type="dxa"/>
            <w:vMerge/>
            <w:tcBorders>
              <w:top w:val="nil"/>
              <w:left w:val="single" w:sz="4" w:space="0" w:color="000000"/>
              <w:bottom w:val="single" w:sz="4" w:space="0" w:color="000000"/>
              <w:right w:val="single" w:sz="4" w:space="0" w:color="000000"/>
            </w:tcBorders>
          </w:tcPr>
          <w:p>
            <w:pPr>
              <w:rPr>
                <w:sz w:val="2"/>
                <w:szCs w:val="2"/>
              </w:rPr>
            </w:pPr>
          </w:p>
        </w:tc>
        <w:tc>
          <w:tcPr>
            <w:tcW w:w="1167" w:type="dxa"/>
            <w:vMerge/>
            <w:tcBorders>
              <w:top w:val="nil"/>
              <w:left w:val="single" w:sz="4" w:space="0" w:color="000000"/>
              <w:bottom w:val="single" w:sz="4" w:space="0" w:color="000000"/>
            </w:tcBorders>
          </w:tcPr>
          <w:p>
            <w:pPr>
              <w:rPr>
                <w:sz w:val="2"/>
                <w:szCs w:val="2"/>
              </w:rPr>
            </w:pPr>
          </w:p>
        </w:tc>
      </w:tr>
      <w:tr>
        <w:trPr>
          <w:trHeight w:val="273" w:hRule="atLeast"/>
        </w:trPr>
        <w:tc>
          <w:tcPr>
            <w:tcW w:w="636" w:type="dxa"/>
            <w:vMerge/>
            <w:tcBorders>
              <w:top w:val="nil"/>
              <w:bottom w:val="single" w:sz="4" w:space="0" w:color="000000"/>
              <w:right w:val="single" w:sz="4" w:space="0" w:color="000000"/>
            </w:tcBorders>
          </w:tcPr>
          <w:p>
            <w:pPr>
              <w:rPr>
                <w:sz w:val="2"/>
                <w:szCs w:val="2"/>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vMerge/>
            <w:tcBorders>
              <w:top w:val="nil"/>
              <w:left w:val="single" w:sz="4" w:space="0" w:color="000000"/>
              <w:bottom w:val="single" w:sz="4" w:space="0" w:color="000000"/>
              <w:right w:val="single" w:sz="4" w:space="0" w:color="000000"/>
            </w:tcBorders>
          </w:tcPr>
          <w:p>
            <w:pPr>
              <w:rPr>
                <w:sz w:val="2"/>
                <w:szCs w:val="2"/>
              </w:rPr>
            </w:pPr>
          </w:p>
        </w:tc>
        <w:tc>
          <w:tcPr>
            <w:tcW w:w="5064" w:type="dxa"/>
            <w:tcBorders>
              <w:top w:val="nil"/>
              <w:left w:val="single" w:sz="4" w:space="0" w:color="000000"/>
              <w:bottom w:val="nil"/>
              <w:right w:val="single" w:sz="4" w:space="0" w:color="000000"/>
            </w:tcBorders>
          </w:tcPr>
          <w:p>
            <w:pPr>
              <w:pStyle w:val="TableParagraph"/>
              <w:rPr>
                <w:rFonts w:ascii="Times New Roman"/>
                <w:sz w:val="20"/>
              </w:rPr>
            </w:pPr>
          </w:p>
        </w:tc>
        <w:tc>
          <w:tcPr>
            <w:tcW w:w="3708" w:type="dxa"/>
            <w:tcBorders>
              <w:top w:val="nil"/>
              <w:left w:val="single" w:sz="4" w:space="0" w:color="000000"/>
              <w:bottom w:val="nil"/>
              <w:right w:val="single" w:sz="4" w:space="0" w:color="000000"/>
            </w:tcBorders>
          </w:tcPr>
          <w:p>
            <w:pPr>
              <w:pStyle w:val="TableParagraph"/>
              <w:spacing w:line="253" w:lineRule="exact" w:before="1"/>
              <w:ind w:left="117"/>
              <w:rPr>
                <w:sz w:val="21"/>
              </w:rPr>
            </w:pPr>
            <w:r>
              <w:rPr>
                <w:sz w:val="21"/>
              </w:rPr>
              <w:t>标准工时、成本波动分析、</w:t>
            </w:r>
            <w:r>
              <w:rPr>
                <w:rFonts w:ascii="Times New Roman" w:eastAsia="Times New Roman"/>
                <w:sz w:val="21"/>
              </w:rPr>
              <w:t>OEE </w:t>
            </w:r>
            <w:r>
              <w:rPr>
                <w:sz w:val="21"/>
              </w:rPr>
              <w:t>计算</w:t>
            </w:r>
          </w:p>
        </w:tc>
        <w:tc>
          <w:tcPr>
            <w:tcW w:w="994" w:type="dxa"/>
            <w:vMerge/>
            <w:tcBorders>
              <w:top w:val="nil"/>
              <w:left w:val="single" w:sz="4" w:space="0" w:color="000000"/>
              <w:bottom w:val="single" w:sz="4" w:space="0" w:color="000000"/>
              <w:right w:val="single" w:sz="4" w:space="0" w:color="000000"/>
            </w:tcBorders>
          </w:tcPr>
          <w:p>
            <w:pPr>
              <w:rPr>
                <w:sz w:val="2"/>
                <w:szCs w:val="2"/>
              </w:rPr>
            </w:pPr>
          </w:p>
        </w:tc>
        <w:tc>
          <w:tcPr>
            <w:tcW w:w="1167" w:type="dxa"/>
            <w:vMerge/>
            <w:tcBorders>
              <w:top w:val="nil"/>
              <w:left w:val="single" w:sz="4" w:space="0" w:color="000000"/>
              <w:bottom w:val="single" w:sz="4" w:space="0" w:color="000000"/>
            </w:tcBorders>
          </w:tcPr>
          <w:p>
            <w:pPr>
              <w:rPr>
                <w:sz w:val="2"/>
                <w:szCs w:val="2"/>
              </w:rPr>
            </w:pPr>
          </w:p>
        </w:tc>
      </w:tr>
      <w:tr>
        <w:trPr>
          <w:trHeight w:val="380" w:hRule="atLeast"/>
        </w:trPr>
        <w:tc>
          <w:tcPr>
            <w:tcW w:w="636" w:type="dxa"/>
            <w:vMerge/>
            <w:tcBorders>
              <w:top w:val="nil"/>
              <w:bottom w:val="single" w:sz="4" w:space="0" w:color="000000"/>
              <w:right w:val="single" w:sz="4" w:space="0" w:color="000000"/>
            </w:tcBorders>
          </w:tcPr>
          <w:p>
            <w:pPr>
              <w:rPr>
                <w:sz w:val="2"/>
                <w:szCs w:val="2"/>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vMerge/>
            <w:tcBorders>
              <w:top w:val="nil"/>
              <w:left w:val="single" w:sz="4" w:space="0" w:color="000000"/>
              <w:bottom w:val="single" w:sz="4" w:space="0" w:color="000000"/>
              <w:right w:val="single" w:sz="4" w:space="0" w:color="000000"/>
            </w:tcBorders>
          </w:tcPr>
          <w:p>
            <w:pPr>
              <w:rPr>
                <w:sz w:val="2"/>
                <w:szCs w:val="2"/>
              </w:rPr>
            </w:pPr>
          </w:p>
        </w:tc>
        <w:tc>
          <w:tcPr>
            <w:tcW w:w="506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3708" w:type="dxa"/>
            <w:tcBorders>
              <w:top w:val="nil"/>
              <w:left w:val="single" w:sz="4" w:space="0" w:color="000000"/>
              <w:bottom w:val="single" w:sz="4" w:space="0" w:color="000000"/>
              <w:right w:val="single" w:sz="4" w:space="0" w:color="000000"/>
            </w:tcBorders>
          </w:tcPr>
          <w:p>
            <w:pPr>
              <w:pStyle w:val="TableParagraph"/>
              <w:spacing w:line="258" w:lineRule="exact"/>
              <w:ind w:left="117"/>
              <w:rPr>
                <w:sz w:val="21"/>
              </w:rPr>
            </w:pPr>
            <w:r>
              <w:rPr>
                <w:sz w:val="21"/>
              </w:rPr>
              <w:t>与分析等。</w:t>
            </w:r>
          </w:p>
        </w:tc>
        <w:tc>
          <w:tcPr>
            <w:tcW w:w="994" w:type="dxa"/>
            <w:vMerge/>
            <w:tcBorders>
              <w:top w:val="nil"/>
              <w:left w:val="single" w:sz="4" w:space="0" w:color="000000"/>
              <w:bottom w:val="single" w:sz="4" w:space="0" w:color="000000"/>
              <w:right w:val="single" w:sz="4" w:space="0" w:color="000000"/>
            </w:tcBorders>
          </w:tcPr>
          <w:p>
            <w:pPr>
              <w:rPr>
                <w:sz w:val="2"/>
                <w:szCs w:val="2"/>
              </w:rPr>
            </w:pPr>
          </w:p>
        </w:tc>
        <w:tc>
          <w:tcPr>
            <w:tcW w:w="1167" w:type="dxa"/>
            <w:vMerge/>
            <w:tcBorders>
              <w:top w:val="nil"/>
              <w:left w:val="single" w:sz="4" w:space="0" w:color="000000"/>
              <w:bottom w:val="single" w:sz="4" w:space="0" w:color="000000"/>
            </w:tcBorders>
          </w:tcPr>
          <w:p>
            <w:pPr>
              <w:rPr>
                <w:sz w:val="2"/>
                <w:szCs w:val="2"/>
              </w:rPr>
            </w:pPr>
          </w:p>
        </w:tc>
      </w:tr>
      <w:tr>
        <w:trPr>
          <w:trHeight w:val="935" w:hRule="atLeast"/>
        </w:trPr>
        <w:tc>
          <w:tcPr>
            <w:tcW w:w="636" w:type="dxa"/>
            <w:tcBorders>
              <w:top w:val="single" w:sz="4" w:space="0" w:color="000000"/>
              <w:bottom w:val="single" w:sz="4" w:space="0" w:color="000000"/>
              <w:right w:val="single" w:sz="4" w:space="0" w:color="000000"/>
            </w:tcBorders>
          </w:tcPr>
          <w:p>
            <w:pPr>
              <w:pStyle w:val="TableParagraph"/>
              <w:spacing w:before="5"/>
              <w:rPr>
                <w:rFonts w:ascii="Times New Roman"/>
                <w:sz w:val="24"/>
              </w:rPr>
            </w:pPr>
          </w:p>
          <w:p>
            <w:pPr>
              <w:pStyle w:val="TableParagraph"/>
              <w:ind w:left="107"/>
              <w:rPr>
                <w:rFonts w:ascii="Times New Roman"/>
                <w:sz w:val="21"/>
              </w:rPr>
            </w:pPr>
            <w:r>
              <w:rPr>
                <w:rFonts w:ascii="Times New Roman"/>
                <w:w w:val="100"/>
                <w:sz w:val="21"/>
              </w:rPr>
              <w:t>9</w:t>
            </w: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Times New Roman"/>
                <w:sz w:val="23"/>
              </w:rPr>
            </w:pPr>
          </w:p>
          <w:p>
            <w:pPr>
              <w:pStyle w:val="TableParagraph"/>
              <w:ind w:left="221" w:right="190"/>
              <w:jc w:val="center"/>
              <w:rPr>
                <w:sz w:val="21"/>
              </w:rPr>
            </w:pPr>
            <w:r>
              <w:rPr>
                <w:sz w:val="21"/>
              </w:rPr>
              <w:t>设备管理</w:t>
            </w:r>
          </w:p>
        </w:tc>
        <w:tc>
          <w:tcPr>
            <w:tcW w:w="5064"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135"/>
              <w:ind w:left="117" w:right="83"/>
              <w:rPr>
                <w:sz w:val="21"/>
              </w:rPr>
            </w:pPr>
            <w:r>
              <w:rPr>
                <w:sz w:val="21"/>
              </w:rPr>
              <w:t>面向生产设备较多、价值较高的工厂，实现设备数字化管理。</w:t>
            </w:r>
          </w:p>
        </w:tc>
        <w:tc>
          <w:tcPr>
            <w:tcW w:w="3708"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1"/>
              <w:ind w:left="117" w:right="81"/>
              <w:jc w:val="both"/>
              <w:rPr>
                <w:sz w:val="21"/>
              </w:rPr>
            </w:pPr>
            <w:r>
              <w:rPr>
                <w:spacing w:val="-11"/>
                <w:sz w:val="21"/>
              </w:rPr>
              <w:t>设备台账、设备状态、保养与点巡检管</w:t>
            </w:r>
            <w:r>
              <w:rPr>
                <w:spacing w:val="-12"/>
                <w:sz w:val="21"/>
              </w:rPr>
              <w:t>理、维修管理、备品备件管理、故障报警等。</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Times New Roman"/>
                <w:sz w:val="23"/>
              </w:rPr>
            </w:pPr>
          </w:p>
          <w:p>
            <w:pPr>
              <w:pStyle w:val="TableParagraph"/>
              <w:ind w:left="117"/>
              <w:rPr>
                <w:sz w:val="21"/>
              </w:rPr>
            </w:pPr>
            <w:r>
              <w:rPr>
                <w:rFonts w:ascii="Times New Roman" w:eastAsia="Times New Roman"/>
                <w:sz w:val="21"/>
              </w:rPr>
              <w:t>5 </w:t>
            </w:r>
            <w:r>
              <w:rPr>
                <w:sz w:val="21"/>
              </w:rPr>
              <w:t>万元</w:t>
            </w:r>
          </w:p>
        </w:tc>
        <w:tc>
          <w:tcPr>
            <w:tcW w:w="1167"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253" w:hRule="atLeast"/>
        </w:trPr>
        <w:tc>
          <w:tcPr>
            <w:tcW w:w="636" w:type="dxa"/>
            <w:tcBorders>
              <w:top w:val="single" w:sz="4" w:space="0" w:color="000000"/>
              <w:bottom w:val="nil"/>
              <w:right w:val="single" w:sz="4" w:space="0" w:color="000000"/>
            </w:tcBorders>
          </w:tcPr>
          <w:p>
            <w:pPr>
              <w:pStyle w:val="TableParagraph"/>
              <w:rPr>
                <w:rFonts w:ascii="Times New Roman"/>
                <w:sz w:val="18"/>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5064"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3708"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994"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167" w:type="dxa"/>
            <w:tcBorders>
              <w:top w:val="single" w:sz="4" w:space="0" w:color="000000"/>
              <w:left w:val="single" w:sz="4" w:space="0" w:color="000000"/>
              <w:bottom w:val="nil"/>
            </w:tcBorders>
          </w:tcPr>
          <w:p>
            <w:pPr>
              <w:pStyle w:val="TableParagraph"/>
              <w:spacing w:line="232" w:lineRule="exact" w:before="1"/>
              <w:ind w:left="117"/>
              <w:rPr>
                <w:sz w:val="21"/>
              </w:rPr>
            </w:pPr>
            <w:r>
              <w:rPr>
                <w:sz w:val="21"/>
              </w:rPr>
              <w:t>实现至少</w:t>
            </w:r>
          </w:p>
        </w:tc>
      </w:tr>
      <w:tr>
        <w:trPr>
          <w:trHeight w:val="266" w:hRule="atLeast"/>
        </w:trPr>
        <w:tc>
          <w:tcPr>
            <w:tcW w:w="636" w:type="dxa"/>
            <w:tcBorders>
              <w:top w:val="nil"/>
              <w:bottom w:val="nil"/>
              <w:right w:val="single" w:sz="4" w:space="0" w:color="000000"/>
            </w:tcBorders>
          </w:tcPr>
          <w:p>
            <w:pPr>
              <w:pStyle w:val="TableParagraph"/>
              <w:rPr>
                <w:rFonts w:ascii="Times New Roman"/>
                <w:sz w:val="18"/>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18"/>
              </w:rPr>
            </w:pPr>
          </w:p>
        </w:tc>
        <w:tc>
          <w:tcPr>
            <w:tcW w:w="5064" w:type="dxa"/>
            <w:tcBorders>
              <w:top w:val="nil"/>
              <w:left w:val="single" w:sz="4" w:space="0" w:color="000000"/>
              <w:bottom w:val="nil"/>
              <w:right w:val="single" w:sz="4" w:space="0" w:color="000000"/>
            </w:tcBorders>
          </w:tcPr>
          <w:p>
            <w:pPr>
              <w:pStyle w:val="TableParagraph"/>
              <w:spacing w:line="246" w:lineRule="exact"/>
              <w:ind w:left="117"/>
              <w:rPr>
                <w:sz w:val="22"/>
              </w:rPr>
            </w:pPr>
            <w:r>
              <w:rPr>
                <w:sz w:val="22"/>
              </w:rPr>
              <w:t>基于关键设备的实时数据采集，通过工业知识经验</w:t>
            </w:r>
          </w:p>
        </w:tc>
        <w:tc>
          <w:tcPr>
            <w:tcW w:w="3708" w:type="dxa"/>
            <w:tcBorders>
              <w:top w:val="nil"/>
              <w:left w:val="single" w:sz="4" w:space="0" w:color="000000"/>
              <w:bottom w:val="nil"/>
              <w:right w:val="single" w:sz="4" w:space="0" w:color="000000"/>
            </w:tcBorders>
          </w:tcPr>
          <w:p>
            <w:pPr>
              <w:pStyle w:val="TableParagraph"/>
              <w:spacing w:line="246" w:lineRule="exact"/>
              <w:ind w:left="117"/>
              <w:rPr>
                <w:sz w:val="22"/>
              </w:rPr>
            </w:pPr>
            <w:r>
              <w:rPr>
                <w:sz w:val="22"/>
              </w:rPr>
              <w:t>实时监测、关键设备数字化管理、报</w:t>
            </w:r>
          </w:p>
        </w:tc>
        <w:tc>
          <w:tcPr>
            <w:tcW w:w="994" w:type="dxa"/>
            <w:tcBorders>
              <w:top w:val="nil"/>
              <w:left w:val="single" w:sz="4" w:space="0" w:color="000000"/>
              <w:bottom w:val="nil"/>
              <w:right w:val="single" w:sz="4" w:space="0" w:color="000000"/>
            </w:tcBorders>
          </w:tcPr>
          <w:p>
            <w:pPr>
              <w:pStyle w:val="TableParagraph"/>
              <w:rPr>
                <w:rFonts w:ascii="Times New Roman"/>
                <w:sz w:val="18"/>
              </w:rPr>
            </w:pPr>
          </w:p>
        </w:tc>
        <w:tc>
          <w:tcPr>
            <w:tcW w:w="1167" w:type="dxa"/>
            <w:tcBorders>
              <w:top w:val="nil"/>
              <w:left w:val="single" w:sz="4" w:space="0" w:color="000000"/>
              <w:bottom w:val="nil"/>
            </w:tcBorders>
          </w:tcPr>
          <w:p>
            <w:pPr>
              <w:pStyle w:val="TableParagraph"/>
              <w:spacing w:line="235" w:lineRule="exact" w:before="11"/>
              <w:ind w:left="117"/>
              <w:rPr>
                <w:sz w:val="21"/>
              </w:rPr>
            </w:pPr>
            <w:r>
              <w:rPr>
                <w:sz w:val="21"/>
              </w:rPr>
              <w:t>一个针对</w:t>
            </w:r>
          </w:p>
        </w:tc>
      </w:tr>
      <w:tr>
        <w:trPr>
          <w:trHeight w:val="549" w:hRule="atLeast"/>
        </w:trPr>
        <w:tc>
          <w:tcPr>
            <w:tcW w:w="636" w:type="dxa"/>
            <w:tcBorders>
              <w:top w:val="nil"/>
              <w:bottom w:val="nil"/>
              <w:right w:val="single" w:sz="4" w:space="0" w:color="000000"/>
            </w:tcBorders>
          </w:tcPr>
          <w:p>
            <w:pPr>
              <w:pStyle w:val="TableParagraph"/>
              <w:spacing w:before="150"/>
              <w:ind w:left="107"/>
              <w:rPr>
                <w:rFonts w:ascii="Times New Roman"/>
                <w:sz w:val="21"/>
              </w:rPr>
            </w:pPr>
            <w:r>
              <w:rPr>
                <w:rFonts w:ascii="Times New Roman"/>
                <w:sz w:val="21"/>
              </w:rPr>
              <w:t>10</w:t>
            </w: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spacing w:before="143"/>
              <w:ind w:left="221" w:right="190"/>
              <w:jc w:val="center"/>
              <w:rPr>
                <w:sz w:val="21"/>
              </w:rPr>
            </w:pPr>
            <w:r>
              <w:rPr>
                <w:sz w:val="21"/>
              </w:rPr>
              <w:t>设备智能</w:t>
            </w:r>
          </w:p>
        </w:tc>
        <w:tc>
          <w:tcPr>
            <w:tcW w:w="5064" w:type="dxa"/>
            <w:tcBorders>
              <w:top w:val="nil"/>
              <w:left w:val="single" w:sz="4" w:space="0" w:color="000000"/>
              <w:bottom w:val="nil"/>
              <w:right w:val="single" w:sz="4" w:space="0" w:color="000000"/>
            </w:tcBorders>
          </w:tcPr>
          <w:p>
            <w:pPr>
              <w:pStyle w:val="TableParagraph"/>
              <w:spacing w:line="274" w:lineRule="exact"/>
              <w:ind w:left="117"/>
              <w:rPr>
                <w:sz w:val="22"/>
              </w:rPr>
            </w:pPr>
            <w:r>
              <w:rPr>
                <w:spacing w:val="-11"/>
                <w:sz w:val="22"/>
              </w:rPr>
              <w:t>沉淀、大数据建模分析等 </w:t>
            </w:r>
            <w:r>
              <w:rPr>
                <w:rFonts w:ascii="Times New Roman" w:eastAsia="Times New Roman"/>
                <w:sz w:val="22"/>
              </w:rPr>
              <w:t>IT</w:t>
            </w:r>
            <w:r>
              <w:rPr>
                <w:rFonts w:ascii="Times New Roman" w:eastAsia="Times New Roman"/>
                <w:spacing w:val="3"/>
                <w:sz w:val="22"/>
              </w:rPr>
              <w:t> </w:t>
            </w:r>
            <w:r>
              <w:rPr>
                <w:spacing w:val="-27"/>
                <w:sz w:val="22"/>
              </w:rPr>
              <w:t>与 </w:t>
            </w:r>
            <w:r>
              <w:rPr>
                <w:rFonts w:ascii="Times New Roman" w:eastAsia="Times New Roman"/>
                <w:sz w:val="22"/>
              </w:rPr>
              <w:t>OT</w:t>
            </w:r>
            <w:r>
              <w:rPr>
                <w:rFonts w:ascii="Times New Roman" w:eastAsia="Times New Roman"/>
                <w:spacing w:val="3"/>
                <w:sz w:val="22"/>
              </w:rPr>
              <w:t> </w:t>
            </w:r>
            <w:r>
              <w:rPr>
                <w:spacing w:val="-6"/>
                <w:sz w:val="22"/>
              </w:rPr>
              <w:t>的融合应用，实</w:t>
            </w:r>
          </w:p>
          <w:p>
            <w:pPr>
              <w:pStyle w:val="TableParagraph"/>
              <w:spacing w:line="252" w:lineRule="exact" w:before="3"/>
              <w:ind w:left="117"/>
              <w:rPr>
                <w:sz w:val="22"/>
              </w:rPr>
            </w:pPr>
            <w:r>
              <w:rPr>
                <w:spacing w:val="-3"/>
                <w:sz w:val="22"/>
              </w:rPr>
              <w:t>现设备智能，辅助管理改善。如设备计划性、预测</w:t>
            </w:r>
          </w:p>
        </w:tc>
        <w:tc>
          <w:tcPr>
            <w:tcW w:w="3708" w:type="dxa"/>
            <w:tcBorders>
              <w:top w:val="nil"/>
              <w:left w:val="single" w:sz="4" w:space="0" w:color="000000"/>
              <w:bottom w:val="nil"/>
              <w:right w:val="single" w:sz="4" w:space="0" w:color="000000"/>
            </w:tcBorders>
          </w:tcPr>
          <w:p>
            <w:pPr>
              <w:pStyle w:val="TableParagraph"/>
              <w:spacing w:line="274" w:lineRule="exact"/>
              <w:ind w:left="117"/>
              <w:rPr>
                <w:sz w:val="22"/>
              </w:rPr>
            </w:pPr>
            <w:r>
              <w:rPr>
                <w:spacing w:val="-5"/>
                <w:sz w:val="22"/>
              </w:rPr>
              <w:t>表分析与展示、历史数据分析、异常</w:t>
            </w:r>
          </w:p>
          <w:p>
            <w:pPr>
              <w:pStyle w:val="TableParagraph"/>
              <w:spacing w:line="252" w:lineRule="exact" w:before="3"/>
              <w:ind w:left="117"/>
              <w:rPr>
                <w:sz w:val="22"/>
              </w:rPr>
            </w:pPr>
            <w:r>
              <w:rPr>
                <w:spacing w:val="-6"/>
                <w:sz w:val="22"/>
              </w:rPr>
              <w:t>工况检测、故障诊断、健康评估、预</w:t>
            </w:r>
          </w:p>
        </w:tc>
        <w:tc>
          <w:tcPr>
            <w:tcW w:w="994" w:type="dxa"/>
            <w:tcBorders>
              <w:top w:val="nil"/>
              <w:left w:val="single" w:sz="4" w:space="0" w:color="000000"/>
              <w:bottom w:val="nil"/>
              <w:right w:val="single" w:sz="4" w:space="0" w:color="000000"/>
            </w:tcBorders>
          </w:tcPr>
          <w:p>
            <w:pPr>
              <w:pStyle w:val="TableParagraph"/>
              <w:spacing w:before="143"/>
              <w:ind w:left="117"/>
              <w:rPr>
                <w:sz w:val="21"/>
              </w:rPr>
            </w:pPr>
            <w:r>
              <w:rPr>
                <w:rFonts w:ascii="Times New Roman" w:eastAsia="Times New Roman"/>
                <w:sz w:val="21"/>
              </w:rPr>
              <w:t>25 </w:t>
            </w:r>
            <w:r>
              <w:rPr>
                <w:sz w:val="21"/>
              </w:rPr>
              <w:t>万元</w:t>
            </w:r>
          </w:p>
        </w:tc>
        <w:tc>
          <w:tcPr>
            <w:tcW w:w="1167" w:type="dxa"/>
            <w:tcBorders>
              <w:top w:val="nil"/>
              <w:left w:val="single" w:sz="4" w:space="0" w:color="000000"/>
              <w:bottom w:val="nil"/>
            </w:tcBorders>
          </w:tcPr>
          <w:p>
            <w:pPr>
              <w:pStyle w:val="TableParagraph"/>
              <w:spacing w:line="270" w:lineRule="atLeast" w:before="5"/>
              <w:ind w:left="117" w:right="74"/>
              <w:rPr>
                <w:sz w:val="21"/>
              </w:rPr>
            </w:pPr>
            <w:r>
              <w:rPr>
                <w:sz w:val="21"/>
              </w:rPr>
              <w:t>具体业务问题的工</w:t>
            </w:r>
          </w:p>
        </w:tc>
      </w:tr>
      <w:tr>
        <w:trPr>
          <w:trHeight w:val="269" w:hRule="atLeast"/>
        </w:trPr>
        <w:tc>
          <w:tcPr>
            <w:tcW w:w="636" w:type="dxa"/>
            <w:tcBorders>
              <w:top w:val="nil"/>
              <w:bottom w:val="nil"/>
              <w:right w:val="single" w:sz="4" w:space="0" w:color="000000"/>
            </w:tcBorders>
          </w:tcPr>
          <w:p>
            <w:pPr>
              <w:pStyle w:val="TableParagraph"/>
              <w:rPr>
                <w:rFonts w:ascii="Times New Roman"/>
                <w:sz w:val="18"/>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18"/>
              </w:rPr>
            </w:pPr>
          </w:p>
        </w:tc>
        <w:tc>
          <w:tcPr>
            <w:tcW w:w="5064" w:type="dxa"/>
            <w:tcBorders>
              <w:top w:val="nil"/>
              <w:left w:val="single" w:sz="4" w:space="0" w:color="000000"/>
              <w:bottom w:val="nil"/>
              <w:right w:val="single" w:sz="4" w:space="0" w:color="000000"/>
            </w:tcBorders>
          </w:tcPr>
          <w:p>
            <w:pPr>
              <w:pStyle w:val="TableParagraph"/>
              <w:spacing w:line="246" w:lineRule="exact" w:before="4"/>
              <w:ind w:left="117"/>
              <w:rPr>
                <w:sz w:val="22"/>
              </w:rPr>
            </w:pPr>
            <w:r>
              <w:rPr>
                <w:sz w:val="22"/>
              </w:rPr>
              <w:t>性运维；设备参数智能优化等。</w:t>
            </w:r>
          </w:p>
        </w:tc>
        <w:tc>
          <w:tcPr>
            <w:tcW w:w="3708" w:type="dxa"/>
            <w:tcBorders>
              <w:top w:val="nil"/>
              <w:left w:val="single" w:sz="4" w:space="0" w:color="000000"/>
              <w:bottom w:val="nil"/>
              <w:right w:val="single" w:sz="4" w:space="0" w:color="000000"/>
            </w:tcBorders>
          </w:tcPr>
          <w:p>
            <w:pPr>
              <w:pStyle w:val="TableParagraph"/>
              <w:spacing w:line="246" w:lineRule="exact" w:before="4"/>
              <w:ind w:left="117"/>
              <w:rPr>
                <w:sz w:val="22"/>
              </w:rPr>
            </w:pPr>
            <w:r>
              <w:rPr>
                <w:sz w:val="22"/>
              </w:rPr>
              <w:t>防性维护、寿命预测分析。</w:t>
            </w:r>
          </w:p>
        </w:tc>
        <w:tc>
          <w:tcPr>
            <w:tcW w:w="994" w:type="dxa"/>
            <w:tcBorders>
              <w:top w:val="nil"/>
              <w:left w:val="single" w:sz="4" w:space="0" w:color="000000"/>
              <w:bottom w:val="nil"/>
              <w:right w:val="single" w:sz="4" w:space="0" w:color="000000"/>
            </w:tcBorders>
          </w:tcPr>
          <w:p>
            <w:pPr>
              <w:pStyle w:val="TableParagraph"/>
              <w:rPr>
                <w:rFonts w:ascii="Times New Roman"/>
                <w:sz w:val="18"/>
              </w:rPr>
            </w:pPr>
          </w:p>
        </w:tc>
        <w:tc>
          <w:tcPr>
            <w:tcW w:w="1167" w:type="dxa"/>
            <w:tcBorders>
              <w:top w:val="nil"/>
              <w:left w:val="single" w:sz="4" w:space="0" w:color="000000"/>
              <w:bottom w:val="nil"/>
            </w:tcBorders>
          </w:tcPr>
          <w:p>
            <w:pPr>
              <w:pStyle w:val="TableParagraph"/>
              <w:spacing w:line="250" w:lineRule="exact"/>
              <w:ind w:left="117"/>
              <w:rPr>
                <w:sz w:val="21"/>
              </w:rPr>
            </w:pPr>
            <w:r>
              <w:rPr>
                <w:sz w:val="21"/>
              </w:rPr>
              <w:t>业大数据</w:t>
            </w:r>
          </w:p>
        </w:tc>
      </w:tr>
      <w:tr>
        <w:trPr>
          <w:trHeight w:val="376" w:hRule="atLeast"/>
        </w:trPr>
        <w:tc>
          <w:tcPr>
            <w:tcW w:w="636" w:type="dxa"/>
            <w:tcBorders>
              <w:top w:val="nil"/>
              <w:bottom w:val="single" w:sz="4" w:space="0" w:color="000000"/>
              <w:right w:val="single" w:sz="4" w:space="0" w:color="000000"/>
            </w:tcBorders>
          </w:tcPr>
          <w:p>
            <w:pPr>
              <w:pStyle w:val="TableParagraph"/>
              <w:rPr>
                <w:rFonts w:ascii="Times New Roman"/>
                <w:sz w:val="20"/>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506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3708"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99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167" w:type="dxa"/>
            <w:tcBorders>
              <w:top w:val="nil"/>
              <w:left w:val="single" w:sz="4" w:space="0" w:color="000000"/>
              <w:bottom w:val="single" w:sz="4" w:space="0" w:color="000000"/>
            </w:tcBorders>
          </w:tcPr>
          <w:p>
            <w:pPr>
              <w:pStyle w:val="TableParagraph"/>
              <w:spacing w:line="255" w:lineRule="exact"/>
              <w:ind w:left="117"/>
              <w:rPr>
                <w:sz w:val="21"/>
              </w:rPr>
            </w:pPr>
            <w:r>
              <w:rPr>
                <w:sz w:val="21"/>
              </w:rPr>
              <w:t>模型。</w:t>
            </w:r>
          </w:p>
        </w:tc>
      </w:tr>
      <w:tr>
        <w:trPr>
          <w:trHeight w:val="266" w:hRule="atLeast"/>
        </w:trPr>
        <w:tc>
          <w:tcPr>
            <w:tcW w:w="636" w:type="dxa"/>
            <w:tcBorders>
              <w:top w:val="single" w:sz="4" w:space="0" w:color="000000"/>
              <w:bottom w:val="nil"/>
              <w:right w:val="single" w:sz="4" w:space="0" w:color="000000"/>
            </w:tcBorders>
          </w:tcPr>
          <w:p>
            <w:pPr>
              <w:pStyle w:val="TableParagraph"/>
              <w:rPr>
                <w:rFonts w:ascii="Times New Roman"/>
                <w:sz w:val="18"/>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5064" w:type="dxa"/>
            <w:tcBorders>
              <w:top w:val="single" w:sz="4" w:space="0" w:color="000000"/>
              <w:left w:val="single" w:sz="4" w:space="0" w:color="000000"/>
              <w:bottom w:val="nil"/>
              <w:right w:val="single" w:sz="4" w:space="0" w:color="000000"/>
            </w:tcBorders>
          </w:tcPr>
          <w:p>
            <w:pPr>
              <w:pStyle w:val="TableParagraph"/>
              <w:spacing w:line="246" w:lineRule="exact" w:before="1"/>
              <w:ind w:left="117"/>
              <w:rPr>
                <w:sz w:val="21"/>
              </w:rPr>
            </w:pPr>
            <w:r>
              <w:rPr>
                <w:sz w:val="21"/>
              </w:rPr>
              <w:t>针对一线员工效率低下，积极性不高等问题，激发员</w:t>
            </w:r>
          </w:p>
        </w:tc>
        <w:tc>
          <w:tcPr>
            <w:tcW w:w="3708"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994"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167"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34" w:hRule="atLeast"/>
        </w:trPr>
        <w:tc>
          <w:tcPr>
            <w:tcW w:w="636" w:type="dxa"/>
            <w:tcBorders>
              <w:top w:val="nil"/>
              <w:bottom w:val="nil"/>
              <w:right w:val="single" w:sz="4" w:space="0" w:color="000000"/>
            </w:tcBorders>
          </w:tcPr>
          <w:p>
            <w:pPr>
              <w:pStyle w:val="TableParagraph"/>
              <w:spacing w:before="141"/>
              <w:ind w:left="107"/>
              <w:rPr>
                <w:rFonts w:ascii="Times New Roman"/>
                <w:sz w:val="21"/>
              </w:rPr>
            </w:pPr>
            <w:r>
              <w:rPr>
                <w:rFonts w:ascii="Times New Roman"/>
                <w:sz w:val="21"/>
              </w:rPr>
              <w:t>11</w:t>
            </w: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spacing w:before="134"/>
              <w:ind w:left="221" w:right="190"/>
              <w:jc w:val="center"/>
              <w:rPr>
                <w:sz w:val="21"/>
              </w:rPr>
            </w:pPr>
            <w:r>
              <w:rPr>
                <w:sz w:val="21"/>
              </w:rPr>
              <w:t>精益管理</w:t>
            </w:r>
          </w:p>
        </w:tc>
        <w:tc>
          <w:tcPr>
            <w:tcW w:w="5064" w:type="dxa"/>
            <w:tcBorders>
              <w:top w:val="nil"/>
              <w:left w:val="single" w:sz="4" w:space="0" w:color="000000"/>
              <w:bottom w:val="nil"/>
              <w:right w:val="single" w:sz="4" w:space="0" w:color="000000"/>
            </w:tcBorders>
          </w:tcPr>
          <w:p>
            <w:pPr>
              <w:pStyle w:val="TableParagraph"/>
              <w:spacing w:line="267" w:lineRule="exact"/>
              <w:ind w:left="117"/>
              <w:rPr>
                <w:sz w:val="21"/>
              </w:rPr>
            </w:pPr>
            <w:r>
              <w:rPr>
                <w:spacing w:val="-3"/>
                <w:sz w:val="21"/>
              </w:rPr>
              <w:t>工参与问题解决，强化员工之间、员工与管理之间的</w:t>
            </w:r>
          </w:p>
          <w:p>
            <w:pPr>
              <w:pStyle w:val="TableParagraph"/>
              <w:spacing w:line="246" w:lineRule="exact" w:before="2"/>
              <w:ind w:left="117"/>
              <w:rPr>
                <w:sz w:val="21"/>
              </w:rPr>
            </w:pPr>
            <w:r>
              <w:rPr>
                <w:spacing w:val="-3"/>
                <w:sz w:val="21"/>
              </w:rPr>
              <w:t>沟通协作，实现对现场问题的快速响应，高效执行，</w:t>
            </w:r>
          </w:p>
        </w:tc>
        <w:tc>
          <w:tcPr>
            <w:tcW w:w="3708" w:type="dxa"/>
            <w:tcBorders>
              <w:top w:val="nil"/>
              <w:left w:val="single" w:sz="4" w:space="0" w:color="000000"/>
              <w:bottom w:val="nil"/>
              <w:right w:val="single" w:sz="4" w:space="0" w:color="000000"/>
            </w:tcBorders>
          </w:tcPr>
          <w:p>
            <w:pPr>
              <w:pStyle w:val="TableParagraph"/>
              <w:spacing w:line="267" w:lineRule="exact"/>
              <w:ind w:left="117"/>
              <w:rPr>
                <w:sz w:val="21"/>
              </w:rPr>
            </w:pPr>
            <w:r>
              <w:rPr>
                <w:sz w:val="21"/>
              </w:rPr>
              <w:t>员工提案、员工好行为、快速响应、现</w:t>
            </w:r>
          </w:p>
          <w:p>
            <w:pPr>
              <w:pStyle w:val="TableParagraph"/>
              <w:spacing w:line="246" w:lineRule="exact" w:before="2"/>
              <w:ind w:left="117"/>
              <w:rPr>
                <w:sz w:val="21"/>
              </w:rPr>
            </w:pPr>
            <w:r>
              <w:rPr>
                <w:sz w:val="21"/>
              </w:rPr>
              <w:t>场管理。</w:t>
            </w:r>
          </w:p>
        </w:tc>
        <w:tc>
          <w:tcPr>
            <w:tcW w:w="994" w:type="dxa"/>
            <w:tcBorders>
              <w:top w:val="nil"/>
              <w:left w:val="single" w:sz="4" w:space="0" w:color="000000"/>
              <w:bottom w:val="nil"/>
              <w:right w:val="single" w:sz="4" w:space="0" w:color="000000"/>
            </w:tcBorders>
          </w:tcPr>
          <w:p>
            <w:pPr>
              <w:pStyle w:val="TableParagraph"/>
              <w:spacing w:before="134"/>
              <w:ind w:left="117"/>
              <w:rPr>
                <w:sz w:val="21"/>
              </w:rPr>
            </w:pPr>
            <w:r>
              <w:rPr>
                <w:rFonts w:ascii="Times New Roman" w:eastAsia="Times New Roman"/>
                <w:sz w:val="21"/>
              </w:rPr>
              <w:t>5 </w:t>
            </w:r>
            <w:r>
              <w:rPr>
                <w:sz w:val="21"/>
              </w:rPr>
              <w:t>万元</w:t>
            </w:r>
          </w:p>
        </w:tc>
        <w:tc>
          <w:tcPr>
            <w:tcW w:w="1167" w:type="dxa"/>
            <w:vMerge/>
            <w:tcBorders>
              <w:top w:val="nil"/>
              <w:left w:val="single" w:sz="4" w:space="0" w:color="000000"/>
              <w:bottom w:val="single" w:sz="4" w:space="0" w:color="000000"/>
            </w:tcBorders>
          </w:tcPr>
          <w:p>
            <w:pPr>
              <w:rPr>
                <w:sz w:val="2"/>
                <w:szCs w:val="2"/>
              </w:rPr>
            </w:pPr>
          </w:p>
        </w:tc>
      </w:tr>
      <w:tr>
        <w:trPr>
          <w:trHeight w:val="387" w:hRule="atLeast"/>
        </w:trPr>
        <w:tc>
          <w:tcPr>
            <w:tcW w:w="636" w:type="dxa"/>
            <w:tcBorders>
              <w:top w:val="nil"/>
              <w:bottom w:val="single" w:sz="4" w:space="0" w:color="000000"/>
              <w:right w:val="single" w:sz="4" w:space="0" w:color="000000"/>
            </w:tcBorders>
          </w:tcPr>
          <w:p>
            <w:pPr>
              <w:pStyle w:val="TableParagraph"/>
              <w:rPr>
                <w:rFonts w:ascii="Times New Roman"/>
                <w:sz w:val="20"/>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5064" w:type="dxa"/>
            <w:tcBorders>
              <w:top w:val="nil"/>
              <w:left w:val="single" w:sz="4" w:space="0" w:color="000000"/>
              <w:bottom w:val="single" w:sz="4" w:space="0" w:color="000000"/>
              <w:right w:val="single" w:sz="4" w:space="0" w:color="000000"/>
            </w:tcBorders>
          </w:tcPr>
          <w:p>
            <w:pPr>
              <w:pStyle w:val="TableParagraph"/>
              <w:spacing w:line="267" w:lineRule="exact"/>
              <w:ind w:left="117"/>
              <w:rPr>
                <w:sz w:val="21"/>
              </w:rPr>
            </w:pPr>
            <w:r>
              <w:rPr>
                <w:sz w:val="21"/>
              </w:rPr>
              <w:t>闭环管理。</w:t>
            </w:r>
          </w:p>
        </w:tc>
        <w:tc>
          <w:tcPr>
            <w:tcW w:w="3708"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99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167" w:type="dxa"/>
            <w:vMerge/>
            <w:tcBorders>
              <w:top w:val="nil"/>
              <w:left w:val="single" w:sz="4" w:space="0" w:color="000000"/>
              <w:bottom w:val="single" w:sz="4" w:space="0" w:color="000000"/>
            </w:tcBorders>
          </w:tcPr>
          <w:p>
            <w:pPr>
              <w:rPr>
                <w:sz w:val="2"/>
                <w:szCs w:val="2"/>
              </w:rPr>
            </w:pPr>
          </w:p>
        </w:tc>
      </w:tr>
      <w:tr>
        <w:trPr>
          <w:trHeight w:val="272" w:hRule="atLeast"/>
        </w:trPr>
        <w:tc>
          <w:tcPr>
            <w:tcW w:w="636" w:type="dxa"/>
            <w:tcBorders>
              <w:top w:val="single" w:sz="4" w:space="0" w:color="000000"/>
              <w:bottom w:val="nil"/>
              <w:right w:val="single" w:sz="4" w:space="0" w:color="000000"/>
            </w:tcBorders>
          </w:tcPr>
          <w:p>
            <w:pPr>
              <w:pStyle w:val="TableParagraph"/>
              <w:rPr>
                <w:rFonts w:ascii="Times New Roman"/>
                <w:sz w:val="20"/>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5064" w:type="dxa"/>
            <w:tcBorders>
              <w:top w:val="single" w:sz="4" w:space="0" w:color="000000"/>
              <w:left w:val="single" w:sz="4" w:space="0" w:color="000000"/>
              <w:bottom w:val="nil"/>
              <w:right w:val="single" w:sz="4" w:space="0" w:color="000000"/>
            </w:tcBorders>
          </w:tcPr>
          <w:p>
            <w:pPr>
              <w:pStyle w:val="TableParagraph"/>
              <w:spacing w:line="245" w:lineRule="exact" w:before="8"/>
              <w:ind w:left="117"/>
              <w:rPr>
                <w:sz w:val="21"/>
              </w:rPr>
            </w:pPr>
            <w:r>
              <w:rPr>
                <w:sz w:val="21"/>
              </w:rPr>
              <w:t>面向良品率及质量要求，基于产品全生命周的品质管</w:t>
            </w:r>
          </w:p>
        </w:tc>
        <w:tc>
          <w:tcPr>
            <w:tcW w:w="3708"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994"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1167"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255" w:hRule="atLeast"/>
        </w:trPr>
        <w:tc>
          <w:tcPr>
            <w:tcW w:w="636" w:type="dxa"/>
            <w:tcBorders>
              <w:top w:val="nil"/>
              <w:bottom w:val="nil"/>
              <w:right w:val="single" w:sz="4" w:space="0" w:color="000000"/>
            </w:tcBorders>
          </w:tcPr>
          <w:p>
            <w:pPr>
              <w:pStyle w:val="TableParagraph"/>
              <w:rPr>
                <w:rFonts w:ascii="Times New Roman"/>
                <w:sz w:val="18"/>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18"/>
              </w:rPr>
            </w:pPr>
          </w:p>
        </w:tc>
        <w:tc>
          <w:tcPr>
            <w:tcW w:w="5064" w:type="dxa"/>
            <w:tcBorders>
              <w:top w:val="nil"/>
              <w:left w:val="single" w:sz="4" w:space="0" w:color="000000"/>
              <w:bottom w:val="nil"/>
              <w:right w:val="single" w:sz="4" w:space="0" w:color="000000"/>
            </w:tcBorders>
          </w:tcPr>
          <w:p>
            <w:pPr>
              <w:pStyle w:val="TableParagraph"/>
              <w:spacing w:line="235" w:lineRule="exact"/>
              <w:ind w:left="117"/>
              <w:rPr>
                <w:sz w:val="21"/>
              </w:rPr>
            </w:pPr>
            <w:r>
              <w:rPr>
                <w:sz w:val="21"/>
              </w:rPr>
              <w:t>理体系，帮助企业确定质量方针、目标和职责，通过</w:t>
            </w:r>
          </w:p>
        </w:tc>
        <w:tc>
          <w:tcPr>
            <w:tcW w:w="3708" w:type="dxa"/>
            <w:tcBorders>
              <w:top w:val="nil"/>
              <w:left w:val="single" w:sz="4" w:space="0" w:color="000000"/>
              <w:bottom w:val="nil"/>
              <w:right w:val="single" w:sz="4" w:space="0" w:color="000000"/>
            </w:tcBorders>
          </w:tcPr>
          <w:p>
            <w:pPr>
              <w:pStyle w:val="TableParagraph"/>
              <w:spacing w:line="235" w:lineRule="exact"/>
              <w:ind w:left="117"/>
              <w:rPr>
                <w:sz w:val="21"/>
              </w:rPr>
            </w:pPr>
            <w:r>
              <w:rPr>
                <w:sz w:val="21"/>
              </w:rPr>
              <w:t>原材料质量管理、过程质量管理、成品</w:t>
            </w:r>
          </w:p>
        </w:tc>
        <w:tc>
          <w:tcPr>
            <w:tcW w:w="994" w:type="dxa"/>
            <w:tcBorders>
              <w:top w:val="nil"/>
              <w:left w:val="single" w:sz="4" w:space="0" w:color="000000"/>
              <w:bottom w:val="nil"/>
              <w:right w:val="single" w:sz="4" w:space="0" w:color="000000"/>
            </w:tcBorders>
          </w:tcPr>
          <w:p>
            <w:pPr>
              <w:pStyle w:val="TableParagraph"/>
              <w:rPr>
                <w:rFonts w:ascii="Times New Roman"/>
                <w:sz w:val="18"/>
              </w:rPr>
            </w:pPr>
          </w:p>
        </w:tc>
        <w:tc>
          <w:tcPr>
            <w:tcW w:w="1167" w:type="dxa"/>
            <w:vMerge/>
            <w:tcBorders>
              <w:top w:val="nil"/>
              <w:left w:val="single" w:sz="4" w:space="0" w:color="000000"/>
              <w:bottom w:val="single" w:sz="4" w:space="0" w:color="000000"/>
            </w:tcBorders>
          </w:tcPr>
          <w:p>
            <w:pPr>
              <w:rPr>
                <w:sz w:val="2"/>
                <w:szCs w:val="2"/>
              </w:rPr>
            </w:pPr>
          </w:p>
        </w:tc>
      </w:tr>
      <w:tr>
        <w:trPr>
          <w:trHeight w:val="273" w:hRule="atLeast"/>
        </w:trPr>
        <w:tc>
          <w:tcPr>
            <w:tcW w:w="636" w:type="dxa"/>
            <w:tcBorders>
              <w:top w:val="nil"/>
              <w:bottom w:val="nil"/>
              <w:right w:val="single" w:sz="4" w:space="0" w:color="000000"/>
            </w:tcBorders>
          </w:tcPr>
          <w:p>
            <w:pPr>
              <w:pStyle w:val="TableParagraph"/>
              <w:spacing w:before="11"/>
              <w:ind w:left="107"/>
              <w:rPr>
                <w:rFonts w:ascii="Times New Roman"/>
                <w:sz w:val="21"/>
              </w:rPr>
            </w:pPr>
            <w:r>
              <w:rPr>
                <w:rFonts w:ascii="Times New Roman"/>
                <w:sz w:val="21"/>
              </w:rPr>
              <w:t>12</w:t>
            </w: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spacing w:line="249" w:lineRule="exact" w:before="4"/>
              <w:ind w:left="221" w:right="190"/>
              <w:jc w:val="center"/>
              <w:rPr>
                <w:sz w:val="21"/>
              </w:rPr>
            </w:pPr>
            <w:r>
              <w:rPr>
                <w:sz w:val="21"/>
              </w:rPr>
              <w:t>质量管理</w:t>
            </w:r>
          </w:p>
        </w:tc>
        <w:tc>
          <w:tcPr>
            <w:tcW w:w="5064" w:type="dxa"/>
            <w:tcBorders>
              <w:top w:val="nil"/>
              <w:left w:val="single" w:sz="4" w:space="0" w:color="000000"/>
              <w:bottom w:val="nil"/>
              <w:right w:val="single" w:sz="4" w:space="0" w:color="000000"/>
            </w:tcBorders>
          </w:tcPr>
          <w:p>
            <w:pPr>
              <w:pStyle w:val="TableParagraph"/>
              <w:spacing w:line="249" w:lineRule="exact" w:before="4"/>
              <w:ind w:left="117"/>
              <w:rPr>
                <w:sz w:val="21"/>
              </w:rPr>
            </w:pPr>
            <w:r>
              <w:rPr>
                <w:sz w:val="21"/>
              </w:rPr>
              <w:t>质量体系中的质量策划、质量控制、质量保证和质量</w:t>
            </w:r>
          </w:p>
        </w:tc>
        <w:tc>
          <w:tcPr>
            <w:tcW w:w="3708" w:type="dxa"/>
            <w:tcBorders>
              <w:top w:val="nil"/>
              <w:left w:val="single" w:sz="4" w:space="0" w:color="000000"/>
              <w:bottom w:val="nil"/>
              <w:right w:val="single" w:sz="4" w:space="0" w:color="000000"/>
            </w:tcBorders>
          </w:tcPr>
          <w:p>
            <w:pPr>
              <w:pStyle w:val="TableParagraph"/>
              <w:spacing w:line="249" w:lineRule="exact" w:before="4"/>
              <w:ind w:left="117" w:right="-29"/>
              <w:rPr>
                <w:sz w:val="21"/>
              </w:rPr>
            </w:pPr>
            <w:r>
              <w:rPr>
                <w:spacing w:val="-16"/>
                <w:sz w:val="21"/>
              </w:rPr>
              <w:t>质量管理、质量体系与标准、品质分析、</w:t>
            </w:r>
          </w:p>
        </w:tc>
        <w:tc>
          <w:tcPr>
            <w:tcW w:w="994" w:type="dxa"/>
            <w:tcBorders>
              <w:top w:val="nil"/>
              <w:left w:val="single" w:sz="4" w:space="0" w:color="000000"/>
              <w:bottom w:val="nil"/>
              <w:right w:val="single" w:sz="4" w:space="0" w:color="000000"/>
            </w:tcBorders>
          </w:tcPr>
          <w:p>
            <w:pPr>
              <w:pStyle w:val="TableParagraph"/>
              <w:spacing w:line="249" w:lineRule="exact" w:before="4"/>
              <w:ind w:left="117"/>
              <w:rPr>
                <w:sz w:val="21"/>
              </w:rPr>
            </w:pPr>
            <w:r>
              <w:rPr>
                <w:rFonts w:ascii="Times New Roman" w:eastAsia="Times New Roman"/>
                <w:sz w:val="21"/>
              </w:rPr>
              <w:t>10 </w:t>
            </w:r>
            <w:r>
              <w:rPr>
                <w:sz w:val="21"/>
              </w:rPr>
              <w:t>万元</w:t>
            </w:r>
          </w:p>
        </w:tc>
        <w:tc>
          <w:tcPr>
            <w:tcW w:w="1167" w:type="dxa"/>
            <w:vMerge/>
            <w:tcBorders>
              <w:top w:val="nil"/>
              <w:left w:val="single" w:sz="4" w:space="0" w:color="000000"/>
              <w:bottom w:val="single" w:sz="4" w:space="0" w:color="000000"/>
            </w:tcBorders>
          </w:tcPr>
          <w:p>
            <w:pPr>
              <w:rPr>
                <w:sz w:val="2"/>
                <w:szCs w:val="2"/>
              </w:rPr>
            </w:pPr>
          </w:p>
        </w:tc>
      </w:tr>
      <w:tr>
        <w:trPr>
          <w:trHeight w:val="265" w:hRule="atLeast"/>
        </w:trPr>
        <w:tc>
          <w:tcPr>
            <w:tcW w:w="636" w:type="dxa"/>
            <w:tcBorders>
              <w:top w:val="nil"/>
              <w:bottom w:val="nil"/>
              <w:right w:val="single" w:sz="4" w:space="0" w:color="000000"/>
            </w:tcBorders>
          </w:tcPr>
          <w:p>
            <w:pPr>
              <w:pStyle w:val="TableParagraph"/>
              <w:rPr>
                <w:rFonts w:ascii="Times New Roman"/>
                <w:sz w:val="18"/>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18"/>
              </w:rPr>
            </w:pPr>
          </w:p>
        </w:tc>
        <w:tc>
          <w:tcPr>
            <w:tcW w:w="5064" w:type="dxa"/>
            <w:tcBorders>
              <w:top w:val="nil"/>
              <w:left w:val="single" w:sz="4" w:space="0" w:color="000000"/>
              <w:bottom w:val="nil"/>
              <w:right w:val="single" w:sz="4" w:space="0" w:color="000000"/>
            </w:tcBorders>
          </w:tcPr>
          <w:p>
            <w:pPr>
              <w:pStyle w:val="TableParagraph"/>
              <w:spacing w:line="246" w:lineRule="exact"/>
              <w:ind w:left="117"/>
              <w:rPr>
                <w:sz w:val="21"/>
              </w:rPr>
            </w:pPr>
            <w:r>
              <w:rPr>
                <w:sz w:val="21"/>
              </w:rPr>
              <w:t>改进来使其实现的所有管理职能的全部活动，提升企</w:t>
            </w:r>
          </w:p>
        </w:tc>
        <w:tc>
          <w:tcPr>
            <w:tcW w:w="3708" w:type="dxa"/>
            <w:tcBorders>
              <w:top w:val="nil"/>
              <w:left w:val="single" w:sz="4" w:space="0" w:color="000000"/>
              <w:bottom w:val="nil"/>
              <w:right w:val="single" w:sz="4" w:space="0" w:color="000000"/>
            </w:tcBorders>
          </w:tcPr>
          <w:p>
            <w:pPr>
              <w:pStyle w:val="TableParagraph"/>
              <w:spacing w:line="246" w:lineRule="exact"/>
              <w:ind w:left="117"/>
              <w:rPr>
                <w:sz w:val="21"/>
              </w:rPr>
            </w:pPr>
            <w:r>
              <w:rPr>
                <w:sz w:val="21"/>
              </w:rPr>
              <w:t>质量控制与</w:t>
            </w:r>
            <w:r>
              <w:rPr>
                <w:rFonts w:ascii="Times New Roman" w:eastAsia="Times New Roman"/>
                <w:sz w:val="21"/>
              </w:rPr>
              <w:t>PDCA </w:t>
            </w:r>
            <w:r>
              <w:rPr>
                <w:sz w:val="21"/>
              </w:rPr>
              <w:t>持续改进等。</w:t>
            </w:r>
          </w:p>
        </w:tc>
        <w:tc>
          <w:tcPr>
            <w:tcW w:w="994" w:type="dxa"/>
            <w:tcBorders>
              <w:top w:val="nil"/>
              <w:left w:val="single" w:sz="4" w:space="0" w:color="000000"/>
              <w:bottom w:val="nil"/>
              <w:right w:val="single" w:sz="4" w:space="0" w:color="000000"/>
            </w:tcBorders>
          </w:tcPr>
          <w:p>
            <w:pPr>
              <w:pStyle w:val="TableParagraph"/>
              <w:rPr>
                <w:rFonts w:ascii="Times New Roman"/>
                <w:sz w:val="18"/>
              </w:rPr>
            </w:pPr>
          </w:p>
        </w:tc>
        <w:tc>
          <w:tcPr>
            <w:tcW w:w="1167" w:type="dxa"/>
            <w:vMerge/>
            <w:tcBorders>
              <w:top w:val="nil"/>
              <w:left w:val="single" w:sz="4" w:space="0" w:color="000000"/>
              <w:bottom w:val="single" w:sz="4" w:space="0" w:color="000000"/>
            </w:tcBorders>
          </w:tcPr>
          <w:p>
            <w:pPr>
              <w:rPr>
                <w:sz w:val="2"/>
                <w:szCs w:val="2"/>
              </w:rPr>
            </w:pPr>
          </w:p>
        </w:tc>
      </w:tr>
      <w:tr>
        <w:trPr>
          <w:trHeight w:val="386" w:hRule="atLeast"/>
        </w:trPr>
        <w:tc>
          <w:tcPr>
            <w:tcW w:w="636" w:type="dxa"/>
            <w:tcBorders>
              <w:top w:val="nil"/>
              <w:bottom w:val="single" w:sz="4" w:space="0" w:color="000000"/>
              <w:right w:val="single" w:sz="4" w:space="0" w:color="000000"/>
            </w:tcBorders>
          </w:tcPr>
          <w:p>
            <w:pPr>
              <w:pStyle w:val="TableParagraph"/>
              <w:rPr>
                <w:rFonts w:ascii="Times New Roman"/>
                <w:sz w:val="20"/>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5064" w:type="dxa"/>
            <w:tcBorders>
              <w:top w:val="nil"/>
              <w:left w:val="single" w:sz="4" w:space="0" w:color="000000"/>
              <w:bottom w:val="single" w:sz="4" w:space="0" w:color="000000"/>
              <w:right w:val="single" w:sz="4" w:space="0" w:color="000000"/>
            </w:tcBorders>
          </w:tcPr>
          <w:p>
            <w:pPr>
              <w:pStyle w:val="TableParagraph"/>
              <w:spacing w:line="259" w:lineRule="exact"/>
              <w:ind w:left="117"/>
              <w:rPr>
                <w:sz w:val="21"/>
              </w:rPr>
            </w:pPr>
            <w:r>
              <w:rPr>
                <w:sz w:val="21"/>
              </w:rPr>
              <w:t>业产品质量保证能力与质量水平。</w:t>
            </w:r>
          </w:p>
        </w:tc>
        <w:tc>
          <w:tcPr>
            <w:tcW w:w="3708"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99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167" w:type="dxa"/>
            <w:vMerge/>
            <w:tcBorders>
              <w:top w:val="nil"/>
              <w:left w:val="single" w:sz="4" w:space="0" w:color="000000"/>
              <w:bottom w:val="single" w:sz="4" w:space="0" w:color="000000"/>
            </w:tcBorders>
          </w:tcPr>
          <w:p>
            <w:pPr>
              <w:rPr>
                <w:sz w:val="2"/>
                <w:szCs w:val="2"/>
              </w:rPr>
            </w:pPr>
          </w:p>
        </w:tc>
      </w:tr>
    </w:tbl>
    <w:p>
      <w:pPr>
        <w:spacing w:after="0"/>
        <w:rPr>
          <w:sz w:val="2"/>
          <w:szCs w:val="2"/>
        </w:rPr>
        <w:sectPr>
          <w:pgSz w:w="16840" w:h="11900" w:orient="landscape"/>
          <w:pgMar w:header="0" w:footer="1237" w:top="1100" w:bottom="1420" w:left="1320" w:right="1200"/>
        </w:sectPr>
      </w:pPr>
    </w:p>
    <w:p>
      <w:pPr>
        <w:pStyle w:val="BodyText"/>
        <w:rPr>
          <w:rFonts w:ascii="Times New Roman"/>
          <w:sz w:val="20"/>
        </w:rPr>
      </w:pPr>
    </w:p>
    <w:p>
      <w:pPr>
        <w:pStyle w:val="BodyText"/>
        <w:spacing w:before="5" w:after="1"/>
        <w:rPr>
          <w:rFonts w:ascii="Times New Roman"/>
          <w:sz w:val="22"/>
        </w:rPr>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36"/>
        <w:gridCol w:w="775"/>
        <w:gridCol w:w="1723"/>
        <w:gridCol w:w="5064"/>
        <w:gridCol w:w="3708"/>
        <w:gridCol w:w="994"/>
        <w:gridCol w:w="1167"/>
      </w:tblGrid>
      <w:tr>
        <w:trPr>
          <w:trHeight w:val="663" w:hRule="atLeast"/>
        </w:trPr>
        <w:tc>
          <w:tcPr>
            <w:tcW w:w="636" w:type="dxa"/>
            <w:tcBorders>
              <w:right w:val="single" w:sz="4" w:space="0" w:color="000000"/>
            </w:tcBorders>
          </w:tcPr>
          <w:p>
            <w:pPr>
              <w:pStyle w:val="TableParagraph"/>
              <w:spacing w:line="151" w:lineRule="auto" w:before="19"/>
              <w:ind w:left="210" w:right="192"/>
              <w:rPr>
                <w:rFonts w:ascii="思源黑体 CN Bold" w:eastAsia="思源黑体 CN Bold" w:hint="eastAsia"/>
                <w:b/>
                <w:sz w:val="21"/>
              </w:rPr>
            </w:pPr>
            <w:r>
              <w:rPr>
                <w:rFonts w:ascii="思源黑体 CN Bold" w:eastAsia="思源黑体 CN Bold" w:hint="eastAsia"/>
                <w:b/>
                <w:sz w:val="21"/>
              </w:rPr>
              <w:t>序号</w:t>
            </w:r>
          </w:p>
        </w:tc>
        <w:tc>
          <w:tcPr>
            <w:tcW w:w="775" w:type="dxa"/>
            <w:tcBorders>
              <w:left w:val="single" w:sz="4" w:space="0" w:color="000000"/>
              <w:right w:val="single" w:sz="4" w:space="0" w:color="000000"/>
            </w:tcBorders>
          </w:tcPr>
          <w:p>
            <w:pPr>
              <w:pStyle w:val="TableParagraph"/>
              <w:spacing w:line="151" w:lineRule="auto" w:before="19"/>
              <w:ind w:left="184" w:right="155"/>
              <w:rPr>
                <w:rFonts w:ascii="思源黑体 CN Bold" w:eastAsia="思源黑体 CN Bold" w:hint="eastAsia"/>
                <w:b/>
                <w:sz w:val="21"/>
              </w:rPr>
            </w:pPr>
            <w:r>
              <w:rPr>
                <w:rFonts w:ascii="思源黑体 CN Bold" w:eastAsia="思源黑体 CN Bold" w:hint="eastAsia"/>
                <w:b/>
                <w:sz w:val="21"/>
              </w:rPr>
              <w:t>一级目录</w:t>
            </w:r>
          </w:p>
        </w:tc>
        <w:tc>
          <w:tcPr>
            <w:tcW w:w="1723" w:type="dxa"/>
            <w:tcBorders>
              <w:left w:val="single" w:sz="4" w:space="0" w:color="000000"/>
              <w:right w:val="single" w:sz="4" w:space="0" w:color="000000"/>
            </w:tcBorders>
          </w:tcPr>
          <w:p>
            <w:pPr>
              <w:pStyle w:val="TableParagraph"/>
              <w:spacing w:before="43"/>
              <w:ind w:left="448"/>
              <w:rPr>
                <w:rFonts w:ascii="思源黑体 CN Bold" w:eastAsia="思源黑体 CN Bold" w:hint="eastAsia"/>
                <w:b/>
                <w:sz w:val="21"/>
              </w:rPr>
            </w:pPr>
            <w:r>
              <w:rPr>
                <w:rFonts w:ascii="思源黑体 CN Bold" w:eastAsia="思源黑体 CN Bold" w:hint="eastAsia"/>
                <w:b/>
                <w:sz w:val="21"/>
              </w:rPr>
              <w:t>二级目录</w:t>
            </w:r>
          </w:p>
        </w:tc>
        <w:tc>
          <w:tcPr>
            <w:tcW w:w="5064" w:type="dxa"/>
            <w:tcBorders>
              <w:left w:val="single" w:sz="4" w:space="0" w:color="000000"/>
              <w:right w:val="single" w:sz="4" w:space="0" w:color="000000"/>
            </w:tcBorders>
          </w:tcPr>
          <w:p>
            <w:pPr>
              <w:pStyle w:val="TableParagraph"/>
              <w:spacing w:before="43"/>
              <w:ind w:left="1891" w:right="1862"/>
              <w:jc w:val="center"/>
              <w:rPr>
                <w:rFonts w:ascii="思源黑体 CN Bold" w:eastAsia="思源黑体 CN Bold" w:hint="eastAsia"/>
                <w:b/>
                <w:sz w:val="21"/>
              </w:rPr>
            </w:pPr>
            <w:r>
              <w:rPr>
                <w:rFonts w:ascii="思源黑体 CN Bold" w:eastAsia="思源黑体 CN Bold" w:hint="eastAsia"/>
                <w:b/>
                <w:sz w:val="21"/>
              </w:rPr>
              <w:t>主要应用场景</w:t>
            </w:r>
          </w:p>
        </w:tc>
        <w:tc>
          <w:tcPr>
            <w:tcW w:w="3708" w:type="dxa"/>
            <w:tcBorders>
              <w:left w:val="single" w:sz="4" w:space="0" w:color="000000"/>
              <w:right w:val="single" w:sz="4" w:space="0" w:color="000000"/>
            </w:tcBorders>
          </w:tcPr>
          <w:p>
            <w:pPr>
              <w:pStyle w:val="TableParagraph"/>
              <w:spacing w:before="43"/>
              <w:ind w:left="1231"/>
              <w:rPr>
                <w:rFonts w:ascii="思源黑体 CN Bold" w:eastAsia="思源黑体 CN Bold" w:hint="eastAsia"/>
                <w:b/>
                <w:sz w:val="21"/>
              </w:rPr>
            </w:pPr>
            <w:r>
              <w:rPr>
                <w:rFonts w:ascii="思源黑体 CN Bold" w:eastAsia="思源黑体 CN Bold" w:hint="eastAsia"/>
                <w:b/>
                <w:sz w:val="21"/>
              </w:rPr>
              <w:t>主要功能模块</w:t>
            </w:r>
          </w:p>
        </w:tc>
        <w:tc>
          <w:tcPr>
            <w:tcW w:w="994" w:type="dxa"/>
            <w:tcBorders>
              <w:left w:val="single" w:sz="4" w:space="0" w:color="000000"/>
              <w:right w:val="single" w:sz="4" w:space="0" w:color="000000"/>
            </w:tcBorders>
          </w:tcPr>
          <w:p>
            <w:pPr>
              <w:pStyle w:val="TableParagraph"/>
              <w:spacing w:line="151" w:lineRule="auto" w:before="19"/>
              <w:ind w:left="295" w:right="264"/>
              <w:rPr>
                <w:rFonts w:ascii="思源黑体 CN Bold" w:eastAsia="思源黑体 CN Bold" w:hint="eastAsia"/>
                <w:b/>
                <w:sz w:val="21"/>
              </w:rPr>
            </w:pPr>
            <w:r>
              <w:rPr>
                <w:rFonts w:ascii="思源黑体 CN Bold" w:eastAsia="思源黑体 CN Bold" w:hint="eastAsia"/>
                <w:b/>
                <w:sz w:val="21"/>
              </w:rPr>
              <w:t>奖补上限</w:t>
            </w:r>
          </w:p>
        </w:tc>
        <w:tc>
          <w:tcPr>
            <w:tcW w:w="1167" w:type="dxa"/>
            <w:tcBorders>
              <w:left w:val="single" w:sz="4" w:space="0" w:color="000000"/>
            </w:tcBorders>
          </w:tcPr>
          <w:p>
            <w:pPr>
              <w:pStyle w:val="TableParagraph"/>
              <w:spacing w:before="43"/>
              <w:ind w:left="381"/>
              <w:rPr>
                <w:rFonts w:ascii="思源黑体 CN Bold" w:eastAsia="思源黑体 CN Bold" w:hint="eastAsia"/>
                <w:b/>
                <w:sz w:val="21"/>
              </w:rPr>
            </w:pPr>
            <w:r>
              <w:rPr>
                <w:rFonts w:ascii="思源黑体 CN Bold" w:eastAsia="思源黑体 CN Bold" w:hint="eastAsia"/>
                <w:b/>
                <w:sz w:val="21"/>
              </w:rPr>
              <w:t>备注</w:t>
            </w:r>
          </w:p>
        </w:tc>
      </w:tr>
      <w:tr>
        <w:trPr>
          <w:trHeight w:val="540" w:hRule="atLeast"/>
        </w:trPr>
        <w:tc>
          <w:tcPr>
            <w:tcW w:w="636" w:type="dxa"/>
            <w:tcBorders>
              <w:bottom w:val="nil"/>
              <w:right w:val="single" w:sz="4" w:space="0" w:color="000000"/>
            </w:tcBorders>
          </w:tcPr>
          <w:p>
            <w:pPr>
              <w:pStyle w:val="TableParagraph"/>
              <w:rPr>
                <w:rFonts w:ascii="Times New Roman"/>
                <w:sz w:val="20"/>
              </w:rPr>
            </w:pPr>
          </w:p>
        </w:tc>
        <w:tc>
          <w:tcPr>
            <w:tcW w:w="775" w:type="dxa"/>
            <w:vMerge w:val="restart"/>
            <w:tcBorders>
              <w:left w:val="single" w:sz="4" w:space="0" w:color="000000"/>
              <w:bottom w:val="single" w:sz="4" w:space="0" w:color="000000"/>
              <w:right w:val="single" w:sz="4" w:space="0" w:color="000000"/>
            </w:tcBorders>
          </w:tcPr>
          <w:p>
            <w:pPr>
              <w:pStyle w:val="TableParagraph"/>
              <w:rPr>
                <w:rFonts w:ascii="Times New Roman"/>
                <w:sz w:val="20"/>
              </w:rPr>
            </w:pPr>
          </w:p>
        </w:tc>
        <w:tc>
          <w:tcPr>
            <w:tcW w:w="1723" w:type="dxa"/>
            <w:tcBorders>
              <w:left w:val="single" w:sz="4" w:space="0" w:color="000000"/>
              <w:bottom w:val="nil"/>
              <w:right w:val="single" w:sz="4" w:space="0" w:color="000000"/>
            </w:tcBorders>
          </w:tcPr>
          <w:p>
            <w:pPr>
              <w:pStyle w:val="TableParagraph"/>
              <w:rPr>
                <w:rFonts w:ascii="Times New Roman"/>
                <w:sz w:val="20"/>
              </w:rPr>
            </w:pPr>
          </w:p>
        </w:tc>
        <w:tc>
          <w:tcPr>
            <w:tcW w:w="5064" w:type="dxa"/>
            <w:tcBorders>
              <w:left w:val="single" w:sz="4" w:space="0" w:color="000000"/>
              <w:bottom w:val="nil"/>
              <w:right w:val="single" w:sz="4" w:space="0" w:color="000000"/>
            </w:tcBorders>
          </w:tcPr>
          <w:p>
            <w:pPr>
              <w:pStyle w:val="TableParagraph"/>
              <w:spacing w:line="270" w:lineRule="atLeast" w:before="2"/>
              <w:ind w:left="117" w:right="83"/>
              <w:rPr>
                <w:sz w:val="21"/>
              </w:rPr>
            </w:pPr>
            <w:r>
              <w:rPr>
                <w:sz w:val="21"/>
              </w:rPr>
              <w:t>面向流程工业，对影响产品质量的现场生产活动进行重点管控，实现生产过程的透明化管理。包括：原辅</w:t>
            </w:r>
          </w:p>
        </w:tc>
        <w:tc>
          <w:tcPr>
            <w:tcW w:w="3708" w:type="dxa"/>
            <w:tcBorders>
              <w:left w:val="single" w:sz="4" w:space="0" w:color="000000"/>
              <w:bottom w:val="nil"/>
              <w:right w:val="single" w:sz="4" w:space="0" w:color="000000"/>
            </w:tcBorders>
          </w:tcPr>
          <w:p>
            <w:pPr>
              <w:pStyle w:val="TableParagraph"/>
              <w:rPr>
                <w:rFonts w:ascii="Times New Roman"/>
                <w:sz w:val="20"/>
              </w:rPr>
            </w:pPr>
          </w:p>
        </w:tc>
        <w:tc>
          <w:tcPr>
            <w:tcW w:w="994" w:type="dxa"/>
            <w:tcBorders>
              <w:left w:val="single" w:sz="4" w:space="0" w:color="000000"/>
              <w:bottom w:val="nil"/>
              <w:right w:val="single" w:sz="4" w:space="0" w:color="000000"/>
            </w:tcBorders>
          </w:tcPr>
          <w:p>
            <w:pPr>
              <w:pStyle w:val="TableParagraph"/>
              <w:rPr>
                <w:rFonts w:ascii="Times New Roman"/>
                <w:sz w:val="20"/>
              </w:rPr>
            </w:pPr>
          </w:p>
        </w:tc>
        <w:tc>
          <w:tcPr>
            <w:tcW w:w="1167" w:type="dxa"/>
            <w:vMerge w:val="restart"/>
            <w:tcBorders>
              <w:left w:val="single" w:sz="4" w:space="0" w:color="000000"/>
              <w:bottom w:val="single" w:sz="4" w:space="0" w:color="000000"/>
            </w:tcBorders>
          </w:tcPr>
          <w:p>
            <w:pPr>
              <w:pStyle w:val="TableParagraph"/>
              <w:rPr>
                <w:rFonts w:ascii="Times New Roman"/>
                <w:sz w:val="20"/>
              </w:rPr>
            </w:pPr>
          </w:p>
        </w:tc>
      </w:tr>
      <w:tr>
        <w:trPr>
          <w:trHeight w:val="1348" w:hRule="atLeast"/>
        </w:trPr>
        <w:tc>
          <w:tcPr>
            <w:tcW w:w="636" w:type="dxa"/>
            <w:tcBorders>
              <w:top w:val="nil"/>
              <w:bottom w:val="nil"/>
              <w:right w:val="single" w:sz="4" w:space="0" w:color="000000"/>
            </w:tcBorders>
          </w:tcPr>
          <w:p>
            <w:pPr>
              <w:pStyle w:val="TableParagraph"/>
              <w:rPr>
                <w:rFonts w:ascii="Times New Roman"/>
                <w:sz w:val="22"/>
              </w:rPr>
            </w:pPr>
          </w:p>
          <w:p>
            <w:pPr>
              <w:pStyle w:val="TableParagraph"/>
              <w:spacing w:before="157"/>
              <w:ind w:left="107"/>
              <w:rPr>
                <w:rFonts w:ascii="Times New Roman"/>
                <w:sz w:val="21"/>
              </w:rPr>
            </w:pPr>
            <w:r>
              <w:rPr>
                <w:rFonts w:ascii="Times New Roman"/>
                <w:sz w:val="21"/>
              </w:rPr>
              <w:t>13</w:t>
            </w: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18"/>
              </w:rPr>
            </w:pPr>
          </w:p>
          <w:p>
            <w:pPr>
              <w:pStyle w:val="TableParagraph"/>
              <w:spacing w:line="350" w:lineRule="auto"/>
              <w:ind w:left="239" w:right="208" w:firstLine="211"/>
              <w:rPr>
                <w:sz w:val="21"/>
              </w:rPr>
            </w:pPr>
            <w:r>
              <w:rPr>
                <w:spacing w:val="-1"/>
                <w:sz w:val="21"/>
              </w:rPr>
              <w:t>流程工业 </w:t>
            </w:r>
            <w:r>
              <w:rPr>
                <w:spacing w:val="-5"/>
                <w:sz w:val="21"/>
              </w:rPr>
              <w:t>生产过程追溯</w:t>
            </w:r>
          </w:p>
        </w:tc>
        <w:tc>
          <w:tcPr>
            <w:tcW w:w="5064" w:type="dxa"/>
            <w:tcBorders>
              <w:top w:val="nil"/>
              <w:left w:val="single" w:sz="4" w:space="0" w:color="000000"/>
              <w:bottom w:val="nil"/>
              <w:right w:val="single" w:sz="4" w:space="0" w:color="000000"/>
            </w:tcBorders>
          </w:tcPr>
          <w:p>
            <w:pPr>
              <w:pStyle w:val="TableParagraph"/>
              <w:spacing w:line="242" w:lineRule="auto"/>
              <w:ind w:left="117" w:right="83"/>
              <w:jc w:val="both"/>
              <w:rPr>
                <w:sz w:val="21"/>
              </w:rPr>
            </w:pPr>
            <w:r>
              <w:rPr>
                <w:spacing w:val="-3"/>
                <w:sz w:val="21"/>
              </w:rPr>
              <w:t>料仓发料条码标识、配方称重、投料配制、品质管控等用户场景实现人机料法环的实时管控。通过分布于生产现场的智能终端，指导工人按照规范和指令进行生产，同时全面实现配方的电子化、生产数据的电子</w:t>
            </w:r>
          </w:p>
          <w:p>
            <w:pPr>
              <w:pStyle w:val="TableParagraph"/>
              <w:spacing w:line="246" w:lineRule="exact"/>
              <w:ind w:left="117"/>
              <w:rPr>
                <w:sz w:val="21"/>
              </w:rPr>
            </w:pPr>
            <w:r>
              <w:rPr>
                <w:spacing w:val="-3"/>
                <w:sz w:val="21"/>
              </w:rPr>
              <w:t>记录，保证操作的准确性和精度，杜绝生产过程中的</w:t>
            </w:r>
          </w:p>
        </w:tc>
        <w:tc>
          <w:tcPr>
            <w:tcW w:w="3708" w:type="dxa"/>
            <w:tcBorders>
              <w:top w:val="nil"/>
              <w:left w:val="single" w:sz="4" w:space="0" w:color="000000"/>
              <w:bottom w:val="nil"/>
              <w:right w:val="single" w:sz="4" w:space="0" w:color="000000"/>
            </w:tcBorders>
          </w:tcPr>
          <w:p>
            <w:pPr>
              <w:pStyle w:val="TableParagraph"/>
              <w:spacing w:line="242" w:lineRule="auto"/>
              <w:ind w:left="117" w:right="2"/>
              <w:rPr>
                <w:sz w:val="21"/>
              </w:rPr>
            </w:pPr>
            <w:r>
              <w:rPr>
                <w:spacing w:val="-11"/>
                <w:sz w:val="21"/>
              </w:rPr>
              <w:t>工厂建模、配方管理、电子秤校验、工</w:t>
            </w:r>
            <w:r>
              <w:rPr>
                <w:spacing w:val="-12"/>
                <w:sz w:val="21"/>
              </w:rPr>
              <w:t>艺管理、工单管理、物料管理、称重管</w:t>
            </w:r>
            <w:r>
              <w:rPr>
                <w:spacing w:val="-3"/>
                <w:sz w:val="21"/>
              </w:rPr>
              <w:t>理、投料管理、物料标识、品质管控、生产进度、数据分析。</w:t>
            </w:r>
          </w:p>
        </w:tc>
        <w:tc>
          <w:tcPr>
            <w:tcW w:w="994" w:type="dxa"/>
            <w:tcBorders>
              <w:top w:val="nil"/>
              <w:left w:val="single" w:sz="4" w:space="0" w:color="000000"/>
              <w:bottom w:val="nil"/>
              <w:right w:val="single" w:sz="4" w:space="0" w:color="000000"/>
            </w:tcBorders>
          </w:tcPr>
          <w:p>
            <w:pPr>
              <w:pStyle w:val="TableParagraph"/>
              <w:rPr>
                <w:rFonts w:ascii="Times New Roman"/>
                <w:sz w:val="22"/>
              </w:rPr>
            </w:pPr>
          </w:p>
          <w:p>
            <w:pPr>
              <w:pStyle w:val="TableParagraph"/>
              <w:spacing w:before="151"/>
              <w:ind w:left="117"/>
              <w:rPr>
                <w:sz w:val="21"/>
              </w:rPr>
            </w:pPr>
            <w:r>
              <w:rPr>
                <w:rFonts w:ascii="Times New Roman" w:eastAsia="Times New Roman"/>
                <w:sz w:val="21"/>
              </w:rPr>
              <w:t>25 </w:t>
            </w:r>
            <w:r>
              <w:rPr>
                <w:sz w:val="21"/>
              </w:rPr>
              <w:t>万元</w:t>
            </w:r>
          </w:p>
        </w:tc>
        <w:tc>
          <w:tcPr>
            <w:tcW w:w="1167" w:type="dxa"/>
            <w:vMerge/>
            <w:tcBorders>
              <w:top w:val="nil"/>
              <w:left w:val="single" w:sz="4" w:space="0" w:color="000000"/>
              <w:bottom w:val="single" w:sz="4" w:space="0" w:color="000000"/>
            </w:tcBorders>
          </w:tcPr>
          <w:p>
            <w:pPr>
              <w:rPr>
                <w:sz w:val="2"/>
                <w:szCs w:val="2"/>
              </w:rPr>
            </w:pPr>
          </w:p>
        </w:tc>
      </w:tr>
      <w:tr>
        <w:trPr>
          <w:trHeight w:val="387" w:hRule="atLeast"/>
        </w:trPr>
        <w:tc>
          <w:tcPr>
            <w:tcW w:w="636" w:type="dxa"/>
            <w:tcBorders>
              <w:top w:val="nil"/>
              <w:bottom w:val="single" w:sz="4" w:space="0" w:color="000000"/>
              <w:right w:val="single" w:sz="4" w:space="0" w:color="000000"/>
            </w:tcBorders>
          </w:tcPr>
          <w:p>
            <w:pPr>
              <w:pStyle w:val="TableParagraph"/>
              <w:rPr>
                <w:rFonts w:ascii="Times New Roman"/>
                <w:sz w:val="20"/>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5064" w:type="dxa"/>
            <w:tcBorders>
              <w:top w:val="nil"/>
              <w:left w:val="single" w:sz="4" w:space="0" w:color="000000"/>
              <w:bottom w:val="single" w:sz="4" w:space="0" w:color="000000"/>
              <w:right w:val="single" w:sz="4" w:space="0" w:color="000000"/>
            </w:tcBorders>
          </w:tcPr>
          <w:p>
            <w:pPr>
              <w:pStyle w:val="TableParagraph"/>
              <w:spacing w:line="267" w:lineRule="exact"/>
              <w:ind w:left="117"/>
              <w:rPr>
                <w:sz w:val="21"/>
              </w:rPr>
            </w:pPr>
            <w:r>
              <w:rPr>
                <w:sz w:val="21"/>
              </w:rPr>
              <w:t>差错，提高产品质量，帮助企业持续规范生产。</w:t>
            </w:r>
          </w:p>
        </w:tc>
        <w:tc>
          <w:tcPr>
            <w:tcW w:w="3708"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99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167" w:type="dxa"/>
            <w:vMerge/>
            <w:tcBorders>
              <w:top w:val="nil"/>
              <w:left w:val="single" w:sz="4" w:space="0" w:color="000000"/>
              <w:bottom w:val="single" w:sz="4" w:space="0" w:color="000000"/>
            </w:tcBorders>
          </w:tcPr>
          <w:p>
            <w:pPr>
              <w:rPr>
                <w:sz w:val="2"/>
                <w:szCs w:val="2"/>
              </w:rPr>
            </w:pPr>
          </w:p>
        </w:tc>
      </w:tr>
      <w:tr>
        <w:trPr>
          <w:trHeight w:val="540" w:hRule="atLeast"/>
        </w:trPr>
        <w:tc>
          <w:tcPr>
            <w:tcW w:w="636" w:type="dxa"/>
            <w:tcBorders>
              <w:top w:val="single" w:sz="4" w:space="0" w:color="000000"/>
              <w:bottom w:val="nil"/>
              <w:right w:val="single" w:sz="4" w:space="0" w:color="000000"/>
            </w:tcBorders>
          </w:tcPr>
          <w:p>
            <w:pPr>
              <w:pStyle w:val="TableParagraph"/>
              <w:rPr>
                <w:rFonts w:ascii="Times New Roman"/>
                <w:sz w:val="20"/>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5064"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3708" w:type="dxa"/>
            <w:tcBorders>
              <w:top w:val="single" w:sz="4" w:space="0" w:color="000000"/>
              <w:left w:val="single" w:sz="4" w:space="0" w:color="000000"/>
              <w:bottom w:val="nil"/>
              <w:right w:val="single" w:sz="4" w:space="0" w:color="000000"/>
            </w:tcBorders>
          </w:tcPr>
          <w:p>
            <w:pPr>
              <w:pStyle w:val="TableParagraph"/>
              <w:spacing w:line="270" w:lineRule="atLeast" w:before="2"/>
              <w:ind w:left="117" w:right="6"/>
              <w:rPr>
                <w:sz w:val="21"/>
              </w:rPr>
            </w:pPr>
            <w:r>
              <w:rPr>
                <w:sz w:val="21"/>
              </w:rPr>
              <w:t>具有能耗管理、告警管理、分析报告管理、系统管理等实用功能模块，同时可</w:t>
            </w:r>
          </w:p>
        </w:tc>
        <w:tc>
          <w:tcPr>
            <w:tcW w:w="994"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1167" w:type="dxa"/>
            <w:tcBorders>
              <w:top w:val="single" w:sz="4" w:space="0" w:color="000000"/>
              <w:left w:val="single" w:sz="4" w:space="0" w:color="000000"/>
              <w:bottom w:val="nil"/>
            </w:tcBorders>
          </w:tcPr>
          <w:p>
            <w:pPr>
              <w:pStyle w:val="TableParagraph"/>
              <w:rPr>
                <w:rFonts w:ascii="Times New Roman"/>
                <w:sz w:val="20"/>
              </w:rPr>
            </w:pPr>
          </w:p>
        </w:tc>
      </w:tr>
      <w:tr>
        <w:trPr>
          <w:trHeight w:val="532" w:hRule="atLeast"/>
        </w:trPr>
        <w:tc>
          <w:tcPr>
            <w:tcW w:w="636" w:type="dxa"/>
            <w:tcBorders>
              <w:top w:val="nil"/>
              <w:bottom w:val="nil"/>
              <w:right w:val="single" w:sz="4" w:space="0" w:color="000000"/>
            </w:tcBorders>
          </w:tcPr>
          <w:p>
            <w:pPr>
              <w:pStyle w:val="TableParagraph"/>
              <w:rPr>
                <w:rFonts w:ascii="Times New Roman"/>
                <w:sz w:val="20"/>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20"/>
              </w:rPr>
            </w:pPr>
          </w:p>
        </w:tc>
        <w:tc>
          <w:tcPr>
            <w:tcW w:w="5064" w:type="dxa"/>
            <w:tcBorders>
              <w:top w:val="nil"/>
              <w:left w:val="single" w:sz="4" w:space="0" w:color="000000"/>
              <w:bottom w:val="nil"/>
              <w:right w:val="single" w:sz="4" w:space="0" w:color="000000"/>
            </w:tcBorders>
          </w:tcPr>
          <w:p>
            <w:pPr>
              <w:pStyle w:val="TableParagraph"/>
              <w:rPr>
                <w:rFonts w:ascii="Times New Roman"/>
                <w:sz w:val="20"/>
              </w:rPr>
            </w:pPr>
          </w:p>
        </w:tc>
        <w:tc>
          <w:tcPr>
            <w:tcW w:w="3708" w:type="dxa"/>
            <w:tcBorders>
              <w:top w:val="nil"/>
              <w:left w:val="single" w:sz="4" w:space="0" w:color="000000"/>
              <w:bottom w:val="nil"/>
              <w:right w:val="single" w:sz="4" w:space="0" w:color="000000"/>
            </w:tcBorders>
          </w:tcPr>
          <w:p>
            <w:pPr>
              <w:pStyle w:val="TableParagraph"/>
              <w:spacing w:line="265" w:lineRule="exact"/>
              <w:ind w:left="117"/>
              <w:rPr>
                <w:sz w:val="21"/>
              </w:rPr>
            </w:pPr>
            <w:r>
              <w:rPr>
                <w:sz w:val="21"/>
              </w:rPr>
              <w:t>拓展支撑企业开展能效分析，实现节能</w:t>
            </w:r>
          </w:p>
          <w:p>
            <w:pPr>
              <w:pStyle w:val="TableParagraph"/>
              <w:spacing w:line="246" w:lineRule="exact" w:before="2"/>
              <w:ind w:left="117"/>
              <w:rPr>
                <w:sz w:val="21"/>
              </w:rPr>
            </w:pPr>
            <w:r>
              <w:rPr>
                <w:sz w:val="21"/>
              </w:rPr>
              <w:t>空间量化分析；精准定位用能问题点，</w:t>
            </w:r>
          </w:p>
        </w:tc>
        <w:tc>
          <w:tcPr>
            <w:tcW w:w="994" w:type="dxa"/>
            <w:tcBorders>
              <w:top w:val="nil"/>
              <w:left w:val="single" w:sz="4" w:space="0" w:color="000000"/>
              <w:bottom w:val="nil"/>
              <w:right w:val="single" w:sz="4" w:space="0" w:color="000000"/>
            </w:tcBorders>
          </w:tcPr>
          <w:p>
            <w:pPr>
              <w:pStyle w:val="TableParagraph"/>
              <w:rPr>
                <w:rFonts w:ascii="Times New Roman"/>
                <w:sz w:val="20"/>
              </w:rPr>
            </w:pPr>
          </w:p>
        </w:tc>
        <w:tc>
          <w:tcPr>
            <w:tcW w:w="1167" w:type="dxa"/>
            <w:tcBorders>
              <w:top w:val="nil"/>
              <w:left w:val="single" w:sz="4" w:space="0" w:color="000000"/>
              <w:bottom w:val="nil"/>
            </w:tcBorders>
          </w:tcPr>
          <w:p>
            <w:pPr>
              <w:pStyle w:val="TableParagraph"/>
              <w:rPr>
                <w:rFonts w:ascii="Times New Roman"/>
                <w:sz w:val="20"/>
              </w:rPr>
            </w:pPr>
          </w:p>
        </w:tc>
      </w:tr>
      <w:tr>
        <w:trPr>
          <w:trHeight w:val="1895" w:hRule="atLeast"/>
        </w:trPr>
        <w:tc>
          <w:tcPr>
            <w:tcW w:w="636" w:type="dxa"/>
            <w:tcBorders>
              <w:top w:val="nil"/>
              <w:bottom w:val="nil"/>
              <w:right w:val="single" w:sz="4"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19"/>
              </w:rPr>
            </w:pPr>
          </w:p>
          <w:p>
            <w:pPr>
              <w:pStyle w:val="TableParagraph"/>
              <w:ind w:left="107"/>
              <w:rPr>
                <w:rFonts w:ascii="Times New Roman"/>
                <w:sz w:val="21"/>
              </w:rPr>
            </w:pPr>
            <w:r>
              <w:rPr>
                <w:rFonts w:ascii="Times New Roman"/>
                <w:sz w:val="21"/>
              </w:rPr>
              <w:t>14</w:t>
            </w: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5"/>
              <w:ind w:left="345" w:right="102" w:hanging="212"/>
              <w:rPr>
                <w:sz w:val="21"/>
              </w:rPr>
            </w:pPr>
            <w:r>
              <w:rPr>
                <w:sz w:val="21"/>
              </w:rPr>
              <w:t>能源管理（通用配电设备）</w:t>
            </w:r>
          </w:p>
        </w:tc>
        <w:tc>
          <w:tcPr>
            <w:tcW w:w="5064" w:type="dxa"/>
            <w:tcBorders>
              <w:top w:val="nil"/>
              <w:left w:val="single" w:sz="4" w:space="0" w:color="000000"/>
              <w:bottom w:val="nil"/>
              <w:right w:val="single" w:sz="4" w:space="0" w:color="000000"/>
            </w:tcBorders>
          </w:tcPr>
          <w:p>
            <w:pPr>
              <w:pStyle w:val="TableParagraph"/>
              <w:spacing w:before="4"/>
              <w:rPr>
                <w:rFonts w:ascii="Times New Roman"/>
                <w:sz w:val="23"/>
              </w:rPr>
            </w:pPr>
          </w:p>
          <w:p>
            <w:pPr>
              <w:pStyle w:val="TableParagraph"/>
              <w:spacing w:line="242" w:lineRule="auto"/>
              <w:ind w:left="117" w:right="-29"/>
              <w:jc w:val="both"/>
              <w:rPr>
                <w:sz w:val="21"/>
              </w:rPr>
            </w:pPr>
            <w:r>
              <w:rPr>
                <w:spacing w:val="-3"/>
                <w:sz w:val="21"/>
              </w:rPr>
              <w:t>针对传统能源管理系统多采用定制单机版、投入大、运维难度高、拓展性弱，多局限于在线监测、在线抄表，系统在线采集数据质量差，对企业节能实际意义不大等，以提高企业用能效率、降低用能成本、提高</w:t>
            </w:r>
          </w:p>
          <w:p>
            <w:pPr>
              <w:pStyle w:val="TableParagraph"/>
              <w:spacing w:line="270" w:lineRule="atLeast" w:before="2"/>
              <w:ind w:left="117" w:right="-29"/>
              <w:rPr>
                <w:sz w:val="21"/>
              </w:rPr>
            </w:pPr>
            <w:r>
              <w:rPr>
                <w:spacing w:val="-12"/>
                <w:sz w:val="21"/>
              </w:rPr>
              <w:t>用能安全性为目标，面向各类能效优化潜力高的企业， </w:t>
            </w:r>
            <w:r>
              <w:rPr>
                <w:spacing w:val="-11"/>
                <w:sz w:val="21"/>
              </w:rPr>
              <w:t>实施通用配电设备的综合用能管理，支撑企业用能的</w:t>
            </w:r>
          </w:p>
        </w:tc>
        <w:tc>
          <w:tcPr>
            <w:tcW w:w="3708" w:type="dxa"/>
            <w:tcBorders>
              <w:top w:val="nil"/>
              <w:left w:val="single" w:sz="4" w:space="0" w:color="000000"/>
              <w:bottom w:val="nil"/>
              <w:right w:val="single" w:sz="4" w:space="0" w:color="000000"/>
            </w:tcBorders>
          </w:tcPr>
          <w:p>
            <w:pPr>
              <w:pStyle w:val="TableParagraph"/>
              <w:spacing w:line="242" w:lineRule="auto"/>
              <w:ind w:left="117" w:right="81"/>
              <w:jc w:val="both"/>
              <w:rPr>
                <w:sz w:val="21"/>
              </w:rPr>
            </w:pPr>
            <w:r>
              <w:rPr>
                <w:spacing w:val="5"/>
                <w:sz w:val="21"/>
              </w:rPr>
              <w:t>实现用电异常或故障信息同时展示至</w:t>
            </w:r>
            <w:r>
              <w:rPr>
                <w:spacing w:val="16"/>
                <w:sz w:val="21"/>
              </w:rPr>
              <w:t>手机和电脑端</w:t>
            </w:r>
            <w:r>
              <w:rPr>
                <w:rFonts w:ascii="Times New Roman" w:eastAsia="Times New Roman"/>
                <w:spacing w:val="-12"/>
                <w:sz w:val="21"/>
              </w:rPr>
              <w:t>; </w:t>
            </w:r>
            <w:r>
              <w:rPr>
                <w:spacing w:val="14"/>
                <w:sz w:val="21"/>
              </w:rPr>
              <w:t>实现数据汇总分析功</w:t>
            </w:r>
            <w:r>
              <w:rPr>
                <w:sz w:val="21"/>
              </w:rPr>
              <w:t>能，自动化生成用能分析诊断报告</w:t>
            </w:r>
            <w:r>
              <w:rPr>
                <w:rFonts w:ascii="Times New Roman" w:eastAsia="Times New Roman"/>
                <w:spacing w:val="4"/>
                <w:sz w:val="21"/>
              </w:rPr>
              <w:t>,</w:t>
            </w:r>
            <w:r>
              <w:rPr>
                <w:sz w:val="21"/>
              </w:rPr>
              <w:t>包</w:t>
            </w:r>
            <w:r>
              <w:rPr>
                <w:spacing w:val="-9"/>
                <w:sz w:val="21"/>
              </w:rPr>
              <w:t>括但不限于节能空间分析报告、用能成</w:t>
            </w:r>
            <w:r>
              <w:rPr>
                <w:spacing w:val="-11"/>
                <w:sz w:val="21"/>
              </w:rPr>
              <w:t>本分析报告、用能体检分析报告等，并</w:t>
            </w:r>
          </w:p>
          <w:p>
            <w:pPr>
              <w:pStyle w:val="TableParagraph"/>
              <w:spacing w:line="270" w:lineRule="atLeast"/>
              <w:ind w:left="117" w:right="81"/>
              <w:rPr>
                <w:sz w:val="21"/>
              </w:rPr>
            </w:pPr>
            <w:r>
              <w:rPr>
                <w:sz w:val="21"/>
              </w:rPr>
              <w:t>针对性给出优化建议</w:t>
            </w:r>
            <w:r>
              <w:rPr>
                <w:rFonts w:ascii="Times New Roman" w:eastAsia="Times New Roman"/>
                <w:sz w:val="21"/>
              </w:rPr>
              <w:t>;</w:t>
            </w:r>
            <w:r>
              <w:rPr>
                <w:sz w:val="21"/>
              </w:rPr>
              <w:t>至少出具两个以</w:t>
            </w:r>
            <w:r>
              <w:rPr>
                <w:spacing w:val="-9"/>
                <w:sz w:val="21"/>
              </w:rPr>
              <w:t>上降低企业用能成本的解决方案，方案</w:t>
            </w:r>
          </w:p>
        </w:tc>
        <w:tc>
          <w:tcPr>
            <w:tcW w:w="994" w:type="dxa"/>
            <w:tcBorders>
              <w:top w:val="nil"/>
              <w:left w:val="single" w:sz="4" w:space="0" w:color="000000"/>
              <w:bottom w:val="nil"/>
              <w:right w:val="single" w:sz="4"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18"/>
              </w:rPr>
            </w:pPr>
          </w:p>
          <w:p>
            <w:pPr>
              <w:pStyle w:val="TableParagraph"/>
              <w:spacing w:before="1"/>
              <w:ind w:left="117"/>
              <w:rPr>
                <w:sz w:val="21"/>
              </w:rPr>
            </w:pPr>
            <w:r>
              <w:rPr>
                <w:rFonts w:ascii="Times New Roman" w:eastAsia="Times New Roman"/>
                <w:sz w:val="21"/>
              </w:rPr>
              <w:t>15 </w:t>
            </w:r>
            <w:r>
              <w:rPr>
                <w:sz w:val="21"/>
              </w:rPr>
              <w:t>万元</w:t>
            </w:r>
          </w:p>
        </w:tc>
        <w:tc>
          <w:tcPr>
            <w:tcW w:w="1167" w:type="dxa"/>
            <w:tcBorders>
              <w:top w:val="nil"/>
              <w:left w:val="single" w:sz="4" w:space="0" w:color="000000"/>
              <w:bottom w:val="nil"/>
            </w:tcBorders>
          </w:tcPr>
          <w:p>
            <w:pPr>
              <w:pStyle w:val="TableParagraph"/>
              <w:rPr>
                <w:rFonts w:ascii="Times New Roman"/>
                <w:sz w:val="20"/>
              </w:rPr>
            </w:pPr>
          </w:p>
          <w:p>
            <w:pPr>
              <w:pStyle w:val="TableParagraph"/>
              <w:spacing w:before="11"/>
              <w:rPr>
                <w:rFonts w:ascii="Times New Roman"/>
                <w:sz w:val="26"/>
              </w:rPr>
            </w:pPr>
          </w:p>
          <w:p>
            <w:pPr>
              <w:pStyle w:val="TableParagraph"/>
              <w:spacing w:line="242" w:lineRule="auto"/>
              <w:ind w:left="117" w:right="74"/>
              <w:jc w:val="both"/>
              <w:rPr>
                <w:sz w:val="21"/>
              </w:rPr>
            </w:pPr>
            <w:r>
              <w:rPr>
                <w:spacing w:val="22"/>
                <w:sz w:val="21"/>
              </w:rPr>
              <w:t>选项功能不作为奖补强制要</w:t>
            </w:r>
          </w:p>
          <w:p>
            <w:pPr>
              <w:pStyle w:val="TableParagraph"/>
              <w:spacing w:line="270" w:lineRule="atLeast" w:before="2"/>
              <w:ind w:left="117" w:right="74"/>
              <w:jc w:val="both"/>
              <w:rPr>
                <w:sz w:val="21"/>
              </w:rPr>
            </w:pPr>
            <w:r>
              <w:rPr>
                <w:spacing w:val="-25"/>
                <w:sz w:val="21"/>
              </w:rPr>
              <w:t>求，作为合</w:t>
            </w:r>
            <w:r>
              <w:rPr>
                <w:spacing w:val="22"/>
                <w:sz w:val="21"/>
              </w:rPr>
              <w:t>同额度参</w:t>
            </w:r>
          </w:p>
        </w:tc>
      </w:tr>
      <w:tr>
        <w:trPr>
          <w:trHeight w:val="531" w:hRule="atLeast"/>
        </w:trPr>
        <w:tc>
          <w:tcPr>
            <w:tcW w:w="636" w:type="dxa"/>
            <w:tcBorders>
              <w:top w:val="nil"/>
              <w:bottom w:val="nil"/>
              <w:right w:val="single" w:sz="4" w:space="0" w:color="000000"/>
            </w:tcBorders>
          </w:tcPr>
          <w:p>
            <w:pPr>
              <w:pStyle w:val="TableParagraph"/>
              <w:rPr>
                <w:rFonts w:ascii="Times New Roman"/>
                <w:sz w:val="20"/>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20"/>
              </w:rPr>
            </w:pPr>
          </w:p>
        </w:tc>
        <w:tc>
          <w:tcPr>
            <w:tcW w:w="5064" w:type="dxa"/>
            <w:tcBorders>
              <w:top w:val="nil"/>
              <w:left w:val="single" w:sz="4" w:space="0" w:color="000000"/>
              <w:bottom w:val="nil"/>
              <w:right w:val="single" w:sz="4" w:space="0" w:color="000000"/>
            </w:tcBorders>
          </w:tcPr>
          <w:p>
            <w:pPr>
              <w:pStyle w:val="TableParagraph"/>
              <w:spacing w:line="264" w:lineRule="exact"/>
              <w:ind w:left="117"/>
              <w:rPr>
                <w:sz w:val="21"/>
              </w:rPr>
            </w:pPr>
            <w:r>
              <w:rPr>
                <w:sz w:val="21"/>
              </w:rPr>
              <w:t>专业化和数字化管理，识别与追溯配电设备的电气故</w:t>
            </w:r>
          </w:p>
          <w:p>
            <w:pPr>
              <w:pStyle w:val="TableParagraph"/>
              <w:spacing w:line="246" w:lineRule="exact" w:before="2"/>
              <w:ind w:left="117"/>
              <w:rPr>
                <w:sz w:val="21"/>
              </w:rPr>
            </w:pPr>
            <w:r>
              <w:rPr>
                <w:sz w:val="21"/>
              </w:rPr>
              <w:t>障。</w:t>
            </w:r>
          </w:p>
        </w:tc>
        <w:tc>
          <w:tcPr>
            <w:tcW w:w="3708" w:type="dxa"/>
            <w:tcBorders>
              <w:top w:val="nil"/>
              <w:left w:val="single" w:sz="4" w:space="0" w:color="000000"/>
              <w:bottom w:val="nil"/>
              <w:right w:val="single" w:sz="4" w:space="0" w:color="000000"/>
            </w:tcBorders>
          </w:tcPr>
          <w:p>
            <w:pPr>
              <w:pStyle w:val="TableParagraph"/>
              <w:spacing w:line="264" w:lineRule="exact"/>
              <w:ind w:left="117"/>
              <w:rPr>
                <w:sz w:val="21"/>
              </w:rPr>
            </w:pPr>
            <w:r>
              <w:rPr>
                <w:sz w:val="21"/>
              </w:rPr>
              <w:t>应对节能降费效果进行定量分析，并具</w:t>
            </w:r>
          </w:p>
          <w:p>
            <w:pPr>
              <w:pStyle w:val="TableParagraph"/>
              <w:spacing w:line="246" w:lineRule="exact" w:before="2"/>
              <w:ind w:left="117"/>
              <w:rPr>
                <w:sz w:val="21"/>
              </w:rPr>
            </w:pPr>
            <w:r>
              <w:rPr>
                <w:sz w:val="21"/>
              </w:rPr>
              <w:t>备可操作性。</w:t>
            </w:r>
          </w:p>
        </w:tc>
        <w:tc>
          <w:tcPr>
            <w:tcW w:w="994" w:type="dxa"/>
            <w:tcBorders>
              <w:top w:val="nil"/>
              <w:left w:val="single" w:sz="4" w:space="0" w:color="000000"/>
              <w:bottom w:val="nil"/>
              <w:right w:val="single" w:sz="4" w:space="0" w:color="000000"/>
            </w:tcBorders>
          </w:tcPr>
          <w:p>
            <w:pPr>
              <w:pStyle w:val="TableParagraph"/>
              <w:rPr>
                <w:rFonts w:ascii="Times New Roman"/>
                <w:sz w:val="20"/>
              </w:rPr>
            </w:pPr>
          </w:p>
        </w:tc>
        <w:tc>
          <w:tcPr>
            <w:tcW w:w="1167" w:type="dxa"/>
            <w:tcBorders>
              <w:top w:val="nil"/>
              <w:left w:val="single" w:sz="4" w:space="0" w:color="000000"/>
              <w:bottom w:val="nil"/>
            </w:tcBorders>
          </w:tcPr>
          <w:p>
            <w:pPr>
              <w:pStyle w:val="TableParagraph"/>
              <w:spacing w:line="264" w:lineRule="exact"/>
              <w:ind w:left="117"/>
              <w:rPr>
                <w:sz w:val="21"/>
              </w:rPr>
            </w:pPr>
            <w:r>
              <w:rPr>
                <w:sz w:val="21"/>
              </w:rPr>
              <w:t>考。</w:t>
            </w:r>
          </w:p>
        </w:tc>
      </w:tr>
      <w:tr>
        <w:trPr>
          <w:trHeight w:val="534" w:hRule="atLeast"/>
        </w:trPr>
        <w:tc>
          <w:tcPr>
            <w:tcW w:w="636" w:type="dxa"/>
            <w:tcBorders>
              <w:top w:val="nil"/>
              <w:bottom w:val="nil"/>
              <w:right w:val="single" w:sz="4" w:space="0" w:color="000000"/>
            </w:tcBorders>
          </w:tcPr>
          <w:p>
            <w:pPr>
              <w:pStyle w:val="TableParagraph"/>
              <w:rPr>
                <w:rFonts w:ascii="Times New Roman"/>
                <w:sz w:val="20"/>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20"/>
              </w:rPr>
            </w:pPr>
          </w:p>
        </w:tc>
        <w:tc>
          <w:tcPr>
            <w:tcW w:w="5064" w:type="dxa"/>
            <w:tcBorders>
              <w:top w:val="nil"/>
              <w:left w:val="single" w:sz="4" w:space="0" w:color="000000"/>
              <w:bottom w:val="nil"/>
              <w:right w:val="single" w:sz="4" w:space="0" w:color="000000"/>
            </w:tcBorders>
          </w:tcPr>
          <w:p>
            <w:pPr>
              <w:pStyle w:val="TableParagraph"/>
              <w:rPr>
                <w:rFonts w:ascii="Times New Roman"/>
                <w:sz w:val="20"/>
              </w:rPr>
            </w:pPr>
          </w:p>
        </w:tc>
        <w:tc>
          <w:tcPr>
            <w:tcW w:w="3708" w:type="dxa"/>
            <w:tcBorders>
              <w:top w:val="nil"/>
              <w:left w:val="single" w:sz="4" w:space="0" w:color="000000"/>
              <w:bottom w:val="nil"/>
              <w:right w:val="single" w:sz="4" w:space="0" w:color="000000"/>
            </w:tcBorders>
          </w:tcPr>
          <w:p>
            <w:pPr>
              <w:pStyle w:val="TableParagraph"/>
              <w:spacing w:line="267" w:lineRule="exact"/>
              <w:ind w:left="117"/>
              <w:rPr>
                <w:sz w:val="21"/>
              </w:rPr>
            </w:pPr>
            <w:r>
              <w:rPr>
                <w:spacing w:val="-11"/>
                <w:sz w:val="21"/>
              </w:rPr>
              <w:t>选项功能：可实现电能质量全方位监测</w:t>
            </w:r>
          </w:p>
          <w:p>
            <w:pPr>
              <w:pStyle w:val="TableParagraph"/>
              <w:spacing w:line="246" w:lineRule="exact" w:before="2"/>
              <w:ind w:left="117"/>
              <w:rPr>
                <w:sz w:val="21"/>
              </w:rPr>
            </w:pPr>
            <w:r>
              <w:rPr>
                <w:spacing w:val="-10"/>
                <w:sz w:val="21"/>
              </w:rPr>
              <w:t>以及故障录波分析与回放；可实现电力</w:t>
            </w:r>
          </w:p>
        </w:tc>
        <w:tc>
          <w:tcPr>
            <w:tcW w:w="994" w:type="dxa"/>
            <w:tcBorders>
              <w:top w:val="nil"/>
              <w:left w:val="single" w:sz="4" w:space="0" w:color="000000"/>
              <w:bottom w:val="nil"/>
              <w:right w:val="single" w:sz="4" w:space="0" w:color="000000"/>
            </w:tcBorders>
          </w:tcPr>
          <w:p>
            <w:pPr>
              <w:pStyle w:val="TableParagraph"/>
              <w:rPr>
                <w:rFonts w:ascii="Times New Roman"/>
                <w:sz w:val="20"/>
              </w:rPr>
            </w:pPr>
          </w:p>
        </w:tc>
        <w:tc>
          <w:tcPr>
            <w:tcW w:w="1167" w:type="dxa"/>
            <w:tcBorders>
              <w:top w:val="nil"/>
              <w:left w:val="single" w:sz="4" w:space="0" w:color="000000"/>
              <w:bottom w:val="nil"/>
            </w:tcBorders>
          </w:tcPr>
          <w:p>
            <w:pPr>
              <w:pStyle w:val="TableParagraph"/>
              <w:rPr>
                <w:rFonts w:ascii="Times New Roman"/>
                <w:sz w:val="20"/>
              </w:rPr>
            </w:pPr>
          </w:p>
        </w:tc>
      </w:tr>
      <w:tr>
        <w:trPr>
          <w:trHeight w:val="534" w:hRule="atLeast"/>
        </w:trPr>
        <w:tc>
          <w:tcPr>
            <w:tcW w:w="636" w:type="dxa"/>
            <w:tcBorders>
              <w:top w:val="nil"/>
              <w:bottom w:val="nil"/>
              <w:right w:val="single" w:sz="4" w:space="0" w:color="000000"/>
            </w:tcBorders>
          </w:tcPr>
          <w:p>
            <w:pPr>
              <w:pStyle w:val="TableParagraph"/>
              <w:rPr>
                <w:rFonts w:ascii="Times New Roman"/>
                <w:sz w:val="20"/>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20"/>
              </w:rPr>
            </w:pPr>
          </w:p>
        </w:tc>
        <w:tc>
          <w:tcPr>
            <w:tcW w:w="5064" w:type="dxa"/>
            <w:tcBorders>
              <w:top w:val="nil"/>
              <w:left w:val="single" w:sz="4" w:space="0" w:color="000000"/>
              <w:bottom w:val="nil"/>
              <w:right w:val="single" w:sz="4" w:space="0" w:color="000000"/>
            </w:tcBorders>
          </w:tcPr>
          <w:p>
            <w:pPr>
              <w:pStyle w:val="TableParagraph"/>
              <w:rPr>
                <w:rFonts w:ascii="Times New Roman"/>
                <w:sz w:val="20"/>
              </w:rPr>
            </w:pPr>
          </w:p>
        </w:tc>
        <w:tc>
          <w:tcPr>
            <w:tcW w:w="3708" w:type="dxa"/>
            <w:tcBorders>
              <w:top w:val="nil"/>
              <w:left w:val="single" w:sz="4" w:space="0" w:color="000000"/>
              <w:bottom w:val="nil"/>
              <w:right w:val="single" w:sz="4" w:space="0" w:color="000000"/>
            </w:tcBorders>
          </w:tcPr>
          <w:p>
            <w:pPr>
              <w:pStyle w:val="TableParagraph"/>
              <w:spacing w:line="267" w:lineRule="exact"/>
              <w:ind w:left="117"/>
              <w:rPr>
                <w:sz w:val="21"/>
              </w:rPr>
            </w:pPr>
            <w:r>
              <w:rPr>
                <w:spacing w:val="-9"/>
                <w:sz w:val="21"/>
              </w:rPr>
              <w:t>市场化交易环境下的应用需求，包括但</w:t>
            </w:r>
          </w:p>
          <w:p>
            <w:pPr>
              <w:pStyle w:val="TableParagraph"/>
              <w:spacing w:line="246" w:lineRule="exact" w:before="2"/>
              <w:ind w:left="117"/>
              <w:rPr>
                <w:sz w:val="21"/>
              </w:rPr>
            </w:pPr>
            <w:r>
              <w:rPr>
                <w:spacing w:val="-11"/>
                <w:sz w:val="21"/>
              </w:rPr>
              <w:t>不限于负荷预测、需求侧响应、负荷分</w:t>
            </w:r>
          </w:p>
        </w:tc>
        <w:tc>
          <w:tcPr>
            <w:tcW w:w="994" w:type="dxa"/>
            <w:tcBorders>
              <w:top w:val="nil"/>
              <w:left w:val="single" w:sz="4" w:space="0" w:color="000000"/>
              <w:bottom w:val="nil"/>
              <w:right w:val="single" w:sz="4" w:space="0" w:color="000000"/>
            </w:tcBorders>
          </w:tcPr>
          <w:p>
            <w:pPr>
              <w:pStyle w:val="TableParagraph"/>
              <w:rPr>
                <w:rFonts w:ascii="Times New Roman"/>
                <w:sz w:val="20"/>
              </w:rPr>
            </w:pPr>
          </w:p>
        </w:tc>
        <w:tc>
          <w:tcPr>
            <w:tcW w:w="1167" w:type="dxa"/>
            <w:tcBorders>
              <w:top w:val="nil"/>
              <w:left w:val="single" w:sz="4" w:space="0" w:color="000000"/>
              <w:bottom w:val="nil"/>
            </w:tcBorders>
          </w:tcPr>
          <w:p>
            <w:pPr>
              <w:pStyle w:val="TableParagraph"/>
              <w:rPr>
                <w:rFonts w:ascii="Times New Roman"/>
                <w:sz w:val="20"/>
              </w:rPr>
            </w:pPr>
          </w:p>
        </w:tc>
      </w:tr>
      <w:tr>
        <w:trPr>
          <w:trHeight w:val="387" w:hRule="atLeast"/>
        </w:trPr>
        <w:tc>
          <w:tcPr>
            <w:tcW w:w="636" w:type="dxa"/>
            <w:tcBorders>
              <w:top w:val="nil"/>
              <w:bottom w:val="single" w:sz="4" w:space="0" w:color="000000"/>
              <w:right w:val="single" w:sz="4" w:space="0" w:color="000000"/>
            </w:tcBorders>
          </w:tcPr>
          <w:p>
            <w:pPr>
              <w:pStyle w:val="TableParagraph"/>
              <w:rPr>
                <w:rFonts w:ascii="Times New Roman"/>
                <w:sz w:val="20"/>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506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3708" w:type="dxa"/>
            <w:tcBorders>
              <w:top w:val="nil"/>
              <w:left w:val="single" w:sz="4" w:space="0" w:color="000000"/>
              <w:bottom w:val="single" w:sz="4" w:space="0" w:color="000000"/>
              <w:right w:val="single" w:sz="4" w:space="0" w:color="000000"/>
            </w:tcBorders>
          </w:tcPr>
          <w:p>
            <w:pPr>
              <w:pStyle w:val="TableParagraph"/>
              <w:spacing w:line="267" w:lineRule="exact"/>
              <w:ind w:left="117"/>
              <w:rPr>
                <w:sz w:val="21"/>
              </w:rPr>
            </w:pPr>
            <w:r>
              <w:rPr>
                <w:sz w:val="21"/>
              </w:rPr>
              <w:t>类管控等。</w:t>
            </w:r>
          </w:p>
        </w:tc>
        <w:tc>
          <w:tcPr>
            <w:tcW w:w="99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167" w:type="dxa"/>
            <w:tcBorders>
              <w:top w:val="nil"/>
              <w:left w:val="single" w:sz="4" w:space="0" w:color="000000"/>
              <w:bottom w:val="single" w:sz="4" w:space="0" w:color="000000"/>
            </w:tcBorders>
          </w:tcPr>
          <w:p>
            <w:pPr>
              <w:pStyle w:val="TableParagraph"/>
              <w:rPr>
                <w:rFonts w:ascii="Times New Roman"/>
                <w:sz w:val="20"/>
              </w:rPr>
            </w:pPr>
          </w:p>
        </w:tc>
      </w:tr>
    </w:tbl>
    <w:p>
      <w:pPr>
        <w:spacing w:after="0"/>
        <w:rPr>
          <w:rFonts w:ascii="Times New Roman"/>
          <w:sz w:val="20"/>
        </w:rPr>
        <w:sectPr>
          <w:pgSz w:w="16840" w:h="11900" w:orient="landscape"/>
          <w:pgMar w:header="0" w:footer="1237" w:top="1100" w:bottom="1420" w:left="1320" w:right="1200"/>
        </w:sectPr>
      </w:pPr>
    </w:p>
    <w:p>
      <w:pPr>
        <w:pStyle w:val="BodyText"/>
        <w:rPr>
          <w:rFonts w:ascii="Times New Roman"/>
          <w:sz w:val="20"/>
        </w:rPr>
      </w:pPr>
    </w:p>
    <w:p>
      <w:pPr>
        <w:pStyle w:val="BodyText"/>
        <w:spacing w:before="5" w:after="1"/>
        <w:rPr>
          <w:rFonts w:ascii="Times New Roman"/>
          <w:sz w:val="22"/>
        </w:rPr>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36"/>
        <w:gridCol w:w="775"/>
        <w:gridCol w:w="1723"/>
        <w:gridCol w:w="5064"/>
        <w:gridCol w:w="3708"/>
        <w:gridCol w:w="994"/>
        <w:gridCol w:w="1167"/>
      </w:tblGrid>
      <w:tr>
        <w:trPr>
          <w:trHeight w:val="663" w:hRule="atLeast"/>
        </w:trPr>
        <w:tc>
          <w:tcPr>
            <w:tcW w:w="636" w:type="dxa"/>
            <w:tcBorders>
              <w:right w:val="single" w:sz="4" w:space="0" w:color="000000"/>
            </w:tcBorders>
          </w:tcPr>
          <w:p>
            <w:pPr>
              <w:pStyle w:val="TableParagraph"/>
              <w:spacing w:line="151" w:lineRule="auto" w:before="19"/>
              <w:ind w:left="210" w:right="192"/>
              <w:rPr>
                <w:rFonts w:ascii="思源黑体 CN Bold" w:eastAsia="思源黑体 CN Bold" w:hint="eastAsia"/>
                <w:b/>
                <w:sz w:val="21"/>
              </w:rPr>
            </w:pPr>
            <w:r>
              <w:rPr>
                <w:rFonts w:ascii="思源黑体 CN Bold" w:eastAsia="思源黑体 CN Bold" w:hint="eastAsia"/>
                <w:b/>
                <w:sz w:val="21"/>
              </w:rPr>
              <w:t>序号</w:t>
            </w:r>
          </w:p>
        </w:tc>
        <w:tc>
          <w:tcPr>
            <w:tcW w:w="775" w:type="dxa"/>
            <w:tcBorders>
              <w:left w:val="single" w:sz="4" w:space="0" w:color="000000"/>
              <w:right w:val="single" w:sz="4" w:space="0" w:color="000000"/>
            </w:tcBorders>
          </w:tcPr>
          <w:p>
            <w:pPr>
              <w:pStyle w:val="TableParagraph"/>
              <w:spacing w:line="151" w:lineRule="auto" w:before="19"/>
              <w:ind w:left="184" w:right="155"/>
              <w:rPr>
                <w:rFonts w:ascii="思源黑体 CN Bold" w:eastAsia="思源黑体 CN Bold" w:hint="eastAsia"/>
                <w:b/>
                <w:sz w:val="21"/>
              </w:rPr>
            </w:pPr>
            <w:r>
              <w:rPr>
                <w:rFonts w:ascii="思源黑体 CN Bold" w:eastAsia="思源黑体 CN Bold" w:hint="eastAsia"/>
                <w:b/>
                <w:sz w:val="21"/>
              </w:rPr>
              <w:t>一级目录</w:t>
            </w:r>
          </w:p>
        </w:tc>
        <w:tc>
          <w:tcPr>
            <w:tcW w:w="1723" w:type="dxa"/>
            <w:tcBorders>
              <w:left w:val="single" w:sz="4" w:space="0" w:color="000000"/>
              <w:right w:val="single" w:sz="4" w:space="0" w:color="000000"/>
            </w:tcBorders>
          </w:tcPr>
          <w:p>
            <w:pPr>
              <w:pStyle w:val="TableParagraph"/>
              <w:spacing w:before="43"/>
              <w:ind w:left="448"/>
              <w:rPr>
                <w:rFonts w:ascii="思源黑体 CN Bold" w:eastAsia="思源黑体 CN Bold" w:hint="eastAsia"/>
                <w:b/>
                <w:sz w:val="21"/>
              </w:rPr>
            </w:pPr>
            <w:r>
              <w:rPr>
                <w:rFonts w:ascii="思源黑体 CN Bold" w:eastAsia="思源黑体 CN Bold" w:hint="eastAsia"/>
                <w:b/>
                <w:sz w:val="21"/>
              </w:rPr>
              <w:t>二级目录</w:t>
            </w:r>
          </w:p>
        </w:tc>
        <w:tc>
          <w:tcPr>
            <w:tcW w:w="5064" w:type="dxa"/>
            <w:tcBorders>
              <w:left w:val="single" w:sz="4" w:space="0" w:color="000000"/>
              <w:right w:val="single" w:sz="4" w:space="0" w:color="000000"/>
            </w:tcBorders>
          </w:tcPr>
          <w:p>
            <w:pPr>
              <w:pStyle w:val="TableParagraph"/>
              <w:spacing w:before="43"/>
              <w:ind w:left="1891" w:right="1862"/>
              <w:jc w:val="center"/>
              <w:rPr>
                <w:rFonts w:ascii="思源黑体 CN Bold" w:eastAsia="思源黑体 CN Bold" w:hint="eastAsia"/>
                <w:b/>
                <w:sz w:val="21"/>
              </w:rPr>
            </w:pPr>
            <w:r>
              <w:rPr>
                <w:rFonts w:ascii="思源黑体 CN Bold" w:eastAsia="思源黑体 CN Bold" w:hint="eastAsia"/>
                <w:b/>
                <w:sz w:val="21"/>
              </w:rPr>
              <w:t>主要应用场景</w:t>
            </w:r>
          </w:p>
        </w:tc>
        <w:tc>
          <w:tcPr>
            <w:tcW w:w="3708" w:type="dxa"/>
            <w:tcBorders>
              <w:left w:val="single" w:sz="4" w:space="0" w:color="000000"/>
              <w:right w:val="single" w:sz="4" w:space="0" w:color="000000"/>
            </w:tcBorders>
          </w:tcPr>
          <w:p>
            <w:pPr>
              <w:pStyle w:val="TableParagraph"/>
              <w:spacing w:before="43"/>
              <w:ind w:left="1231"/>
              <w:rPr>
                <w:rFonts w:ascii="思源黑体 CN Bold" w:eastAsia="思源黑体 CN Bold" w:hint="eastAsia"/>
                <w:b/>
                <w:sz w:val="21"/>
              </w:rPr>
            </w:pPr>
            <w:r>
              <w:rPr>
                <w:rFonts w:ascii="思源黑体 CN Bold" w:eastAsia="思源黑体 CN Bold" w:hint="eastAsia"/>
                <w:b/>
                <w:sz w:val="21"/>
              </w:rPr>
              <w:t>主要功能模块</w:t>
            </w:r>
          </w:p>
        </w:tc>
        <w:tc>
          <w:tcPr>
            <w:tcW w:w="994" w:type="dxa"/>
            <w:tcBorders>
              <w:left w:val="single" w:sz="4" w:space="0" w:color="000000"/>
              <w:right w:val="single" w:sz="4" w:space="0" w:color="000000"/>
            </w:tcBorders>
          </w:tcPr>
          <w:p>
            <w:pPr>
              <w:pStyle w:val="TableParagraph"/>
              <w:spacing w:line="151" w:lineRule="auto" w:before="19"/>
              <w:ind w:left="295" w:right="264"/>
              <w:rPr>
                <w:rFonts w:ascii="思源黑体 CN Bold" w:eastAsia="思源黑体 CN Bold" w:hint="eastAsia"/>
                <w:b/>
                <w:sz w:val="21"/>
              </w:rPr>
            </w:pPr>
            <w:r>
              <w:rPr>
                <w:rFonts w:ascii="思源黑体 CN Bold" w:eastAsia="思源黑体 CN Bold" w:hint="eastAsia"/>
                <w:b/>
                <w:sz w:val="21"/>
              </w:rPr>
              <w:t>奖补上限</w:t>
            </w:r>
          </w:p>
        </w:tc>
        <w:tc>
          <w:tcPr>
            <w:tcW w:w="1167" w:type="dxa"/>
            <w:tcBorders>
              <w:left w:val="single" w:sz="4" w:space="0" w:color="000000"/>
            </w:tcBorders>
          </w:tcPr>
          <w:p>
            <w:pPr>
              <w:pStyle w:val="TableParagraph"/>
              <w:spacing w:before="43"/>
              <w:ind w:left="381"/>
              <w:rPr>
                <w:rFonts w:ascii="思源黑体 CN Bold" w:eastAsia="思源黑体 CN Bold" w:hint="eastAsia"/>
                <w:b/>
                <w:sz w:val="21"/>
              </w:rPr>
            </w:pPr>
            <w:r>
              <w:rPr>
                <w:rFonts w:ascii="思源黑体 CN Bold" w:eastAsia="思源黑体 CN Bold" w:hint="eastAsia"/>
                <w:b/>
                <w:sz w:val="21"/>
              </w:rPr>
              <w:t>备注</w:t>
            </w:r>
          </w:p>
        </w:tc>
      </w:tr>
      <w:tr>
        <w:trPr>
          <w:trHeight w:val="2341" w:hRule="atLeast"/>
        </w:trPr>
        <w:tc>
          <w:tcPr>
            <w:tcW w:w="636" w:type="dxa"/>
            <w:tcBorders>
              <w:bottom w:val="single" w:sz="4" w:space="0" w:color="000000"/>
              <w:right w:val="single" w:sz="4"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0"/>
              </w:rPr>
            </w:pPr>
          </w:p>
          <w:p>
            <w:pPr>
              <w:pStyle w:val="TableParagraph"/>
              <w:ind w:left="107"/>
              <w:rPr>
                <w:rFonts w:ascii="Times New Roman"/>
                <w:sz w:val="21"/>
              </w:rPr>
            </w:pPr>
            <w:r>
              <w:rPr>
                <w:rFonts w:ascii="Times New Roman"/>
                <w:sz w:val="21"/>
              </w:rPr>
              <w:t>15</w:t>
            </w:r>
          </w:p>
        </w:tc>
        <w:tc>
          <w:tcPr>
            <w:tcW w:w="775" w:type="dxa"/>
            <w:vMerge w:val="restart"/>
            <w:tcBorders>
              <w:left w:val="single" w:sz="4" w:space="0" w:color="000000"/>
              <w:right w:val="single" w:sz="4" w:space="0" w:color="000000"/>
            </w:tcBorders>
          </w:tcPr>
          <w:p>
            <w:pPr>
              <w:pStyle w:val="TableParagraph"/>
              <w:rPr>
                <w:rFonts w:ascii="Times New Roman"/>
                <w:sz w:val="20"/>
              </w:rPr>
            </w:pPr>
          </w:p>
        </w:tc>
        <w:tc>
          <w:tcPr>
            <w:tcW w:w="1723" w:type="dxa"/>
            <w:tcBorders>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345" w:right="102" w:hanging="212"/>
              <w:rPr>
                <w:sz w:val="21"/>
              </w:rPr>
            </w:pPr>
            <w:r>
              <w:rPr>
                <w:sz w:val="21"/>
              </w:rPr>
              <w:t>能源管理（通用生产设备）</w:t>
            </w:r>
          </w:p>
        </w:tc>
        <w:tc>
          <w:tcPr>
            <w:tcW w:w="5064" w:type="dxa"/>
            <w:tcBorders>
              <w:left w:val="single" w:sz="4" w:space="0" w:color="000000"/>
              <w:bottom w:val="single" w:sz="4" w:space="0" w:color="000000"/>
              <w:right w:val="single" w:sz="4" w:space="0" w:color="000000"/>
            </w:tcBorders>
          </w:tcPr>
          <w:p>
            <w:pPr>
              <w:pStyle w:val="TableParagraph"/>
              <w:spacing w:line="242" w:lineRule="auto" w:before="163"/>
              <w:ind w:left="117" w:right="83"/>
              <w:jc w:val="both"/>
              <w:rPr>
                <w:sz w:val="21"/>
              </w:rPr>
            </w:pPr>
            <w:r>
              <w:rPr>
                <w:sz w:val="21"/>
              </w:rPr>
              <w:t>面向制造企业空压站、空调、锅炉、电机等通用生产设备车间，针对企业能源管理粗放、存在用能监测黑箱问题、能耗高、设备寿命低、问题点查找困难等， 基于对整个车间的通用生产设备及传感器的实时数据采集，利用边缘计算和云服务器实现对车间设备运行参数的智能优化控制，提高企业的能源利用水平和用能安全水平，降低能耗。</w:t>
            </w:r>
          </w:p>
        </w:tc>
        <w:tc>
          <w:tcPr>
            <w:tcW w:w="3708" w:type="dxa"/>
            <w:tcBorders>
              <w:left w:val="single" w:sz="4" w:space="0" w:color="000000"/>
              <w:bottom w:val="single" w:sz="4" w:space="0" w:color="000000"/>
              <w:right w:val="single" w:sz="4" w:space="0" w:color="000000"/>
            </w:tcBorders>
          </w:tcPr>
          <w:p>
            <w:pPr>
              <w:pStyle w:val="TableParagraph"/>
              <w:spacing w:line="242" w:lineRule="auto" w:before="3"/>
              <w:ind w:left="117" w:right="-29"/>
              <w:rPr>
                <w:sz w:val="22"/>
              </w:rPr>
            </w:pPr>
            <w:r>
              <w:rPr>
                <w:spacing w:val="-10"/>
                <w:sz w:val="21"/>
              </w:rPr>
              <w:t>具备设备能效统计和分析、节能空间量</w:t>
            </w:r>
            <w:r>
              <w:rPr>
                <w:spacing w:val="-13"/>
                <w:sz w:val="21"/>
              </w:rPr>
              <w:t>化分析、用能问题点精准定位分析等关键功能；具有能耗管理、告警管理、分</w:t>
            </w:r>
            <w:r>
              <w:rPr>
                <w:spacing w:val="6"/>
                <w:sz w:val="21"/>
              </w:rPr>
              <w:t>析报告管理、系统管理等实用功能模</w:t>
            </w:r>
            <w:r>
              <w:rPr>
                <w:spacing w:val="-26"/>
                <w:sz w:val="21"/>
              </w:rPr>
              <w:t>块；</w:t>
            </w:r>
            <w:r>
              <w:rPr>
                <w:spacing w:val="-9"/>
                <w:sz w:val="22"/>
              </w:rPr>
              <w:t>实现实时监测、车间数字化看板、报表分析与展示、历史数据分析、异</w:t>
            </w:r>
            <w:r>
              <w:rPr>
                <w:spacing w:val="-15"/>
                <w:sz w:val="22"/>
              </w:rPr>
              <w:t>常工况检测、故障诊断、单耗评估等， </w:t>
            </w:r>
            <w:r>
              <w:rPr>
                <w:spacing w:val="-8"/>
                <w:sz w:val="22"/>
              </w:rPr>
              <w:t>部分可实现反向智能控制功能。</w:t>
            </w:r>
          </w:p>
        </w:tc>
        <w:tc>
          <w:tcPr>
            <w:tcW w:w="994" w:type="dxa"/>
            <w:tcBorders>
              <w:left w:val="single" w:sz="4" w:space="0" w:color="000000"/>
              <w:bottom w:val="single" w:sz="4" w:space="0" w:color="000000"/>
              <w:right w:val="single" w:sz="4"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9"/>
              </w:rPr>
            </w:pPr>
          </w:p>
          <w:p>
            <w:pPr>
              <w:pStyle w:val="TableParagraph"/>
              <w:ind w:left="117"/>
              <w:rPr>
                <w:sz w:val="21"/>
              </w:rPr>
            </w:pPr>
            <w:r>
              <w:rPr>
                <w:rFonts w:ascii="Times New Roman" w:eastAsia="Times New Roman"/>
                <w:sz w:val="21"/>
              </w:rPr>
              <w:t>20 </w:t>
            </w:r>
            <w:r>
              <w:rPr>
                <w:sz w:val="21"/>
              </w:rPr>
              <w:t>万元</w:t>
            </w:r>
          </w:p>
        </w:tc>
        <w:tc>
          <w:tcPr>
            <w:tcW w:w="1167" w:type="dxa"/>
            <w:tcBorders>
              <w:left w:val="single" w:sz="4" w:space="0" w:color="000000"/>
              <w:bottom w:val="single" w:sz="4" w:space="0" w:color="000000"/>
            </w:tcBorders>
          </w:tcPr>
          <w:p>
            <w:pPr>
              <w:pStyle w:val="TableParagraph"/>
              <w:rPr>
                <w:rFonts w:ascii="Times New Roman"/>
                <w:sz w:val="20"/>
              </w:rPr>
            </w:pPr>
          </w:p>
        </w:tc>
      </w:tr>
      <w:tr>
        <w:trPr>
          <w:trHeight w:val="246" w:hRule="atLeast"/>
        </w:trPr>
        <w:tc>
          <w:tcPr>
            <w:tcW w:w="636" w:type="dxa"/>
            <w:tcBorders>
              <w:top w:val="single" w:sz="4" w:space="0" w:color="000000"/>
              <w:bottom w:val="nil"/>
              <w:right w:val="single" w:sz="4" w:space="0" w:color="000000"/>
            </w:tcBorders>
          </w:tcPr>
          <w:p>
            <w:pPr>
              <w:pStyle w:val="TableParagraph"/>
              <w:rPr>
                <w:rFonts w:ascii="Times New Roman"/>
                <w:sz w:val="18"/>
              </w:rPr>
            </w:pPr>
          </w:p>
        </w:tc>
        <w:tc>
          <w:tcPr>
            <w:tcW w:w="775" w:type="dxa"/>
            <w:vMerge/>
            <w:tcBorders>
              <w:top w:val="nil"/>
              <w:left w:val="single" w:sz="4" w:space="0" w:color="000000"/>
              <w:right w:val="single" w:sz="4" w:space="0" w:color="000000"/>
            </w:tcBorders>
          </w:tcPr>
          <w:p>
            <w:pPr>
              <w:rPr>
                <w:sz w:val="2"/>
                <w:szCs w:val="2"/>
              </w:rPr>
            </w:pPr>
          </w:p>
        </w:tc>
        <w:tc>
          <w:tcPr>
            <w:tcW w:w="1723"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5064"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3708" w:type="dxa"/>
            <w:tcBorders>
              <w:top w:val="single" w:sz="4" w:space="0" w:color="000000"/>
              <w:left w:val="single" w:sz="4" w:space="0" w:color="000000"/>
              <w:bottom w:val="nil"/>
              <w:right w:val="single" w:sz="4" w:space="0" w:color="000000"/>
            </w:tcBorders>
          </w:tcPr>
          <w:p>
            <w:pPr>
              <w:pStyle w:val="TableParagraph"/>
              <w:spacing w:line="227" w:lineRule="exact"/>
              <w:ind w:left="117"/>
              <w:rPr>
                <w:sz w:val="21"/>
              </w:rPr>
            </w:pPr>
            <w:r>
              <w:rPr>
                <w:sz w:val="21"/>
              </w:rPr>
              <w:t>具有能耗管理、重点耗能工艺设备管</w:t>
            </w:r>
          </w:p>
        </w:tc>
        <w:tc>
          <w:tcPr>
            <w:tcW w:w="994"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167" w:type="dxa"/>
            <w:tcBorders>
              <w:top w:val="single" w:sz="4" w:space="0" w:color="000000"/>
              <w:left w:val="single" w:sz="4" w:space="0" w:color="000000"/>
              <w:bottom w:val="nil"/>
            </w:tcBorders>
          </w:tcPr>
          <w:p>
            <w:pPr>
              <w:pStyle w:val="TableParagraph"/>
              <w:rPr>
                <w:rFonts w:ascii="Times New Roman"/>
                <w:sz w:val="18"/>
              </w:rPr>
            </w:pPr>
          </w:p>
        </w:tc>
      </w:tr>
      <w:tr>
        <w:trPr>
          <w:trHeight w:val="514" w:hRule="atLeast"/>
        </w:trPr>
        <w:tc>
          <w:tcPr>
            <w:tcW w:w="636" w:type="dxa"/>
            <w:tcBorders>
              <w:top w:val="nil"/>
              <w:bottom w:val="nil"/>
              <w:right w:val="single" w:sz="4" w:space="0" w:color="000000"/>
            </w:tcBorders>
          </w:tcPr>
          <w:p>
            <w:pPr>
              <w:pStyle w:val="TableParagraph"/>
              <w:rPr>
                <w:rFonts w:ascii="Times New Roman"/>
                <w:sz w:val="20"/>
              </w:rPr>
            </w:pPr>
          </w:p>
        </w:tc>
        <w:tc>
          <w:tcPr>
            <w:tcW w:w="775" w:type="dxa"/>
            <w:vMerge/>
            <w:tcBorders>
              <w:top w:val="nil"/>
              <w:left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20"/>
              </w:rPr>
            </w:pPr>
          </w:p>
        </w:tc>
        <w:tc>
          <w:tcPr>
            <w:tcW w:w="5064" w:type="dxa"/>
            <w:tcBorders>
              <w:top w:val="nil"/>
              <w:left w:val="single" w:sz="4" w:space="0" w:color="000000"/>
              <w:bottom w:val="nil"/>
              <w:right w:val="single" w:sz="4" w:space="0" w:color="000000"/>
            </w:tcBorders>
          </w:tcPr>
          <w:p>
            <w:pPr>
              <w:pStyle w:val="TableParagraph"/>
              <w:rPr>
                <w:rFonts w:ascii="Times New Roman"/>
                <w:sz w:val="20"/>
              </w:rPr>
            </w:pPr>
          </w:p>
        </w:tc>
        <w:tc>
          <w:tcPr>
            <w:tcW w:w="3708" w:type="dxa"/>
            <w:tcBorders>
              <w:top w:val="nil"/>
              <w:left w:val="single" w:sz="4" w:space="0" w:color="000000"/>
              <w:bottom w:val="nil"/>
              <w:right w:val="single" w:sz="4" w:space="0" w:color="000000"/>
            </w:tcBorders>
          </w:tcPr>
          <w:p>
            <w:pPr>
              <w:pStyle w:val="TableParagraph"/>
              <w:spacing w:line="257" w:lineRule="exact"/>
              <w:ind w:left="117"/>
              <w:rPr>
                <w:sz w:val="21"/>
              </w:rPr>
            </w:pPr>
            <w:r>
              <w:rPr>
                <w:sz w:val="21"/>
              </w:rPr>
              <w:t>理、告警管理、人员管理、能效分析等</w:t>
            </w:r>
          </w:p>
          <w:p>
            <w:pPr>
              <w:pStyle w:val="TableParagraph"/>
              <w:spacing w:line="236" w:lineRule="exact" w:before="2"/>
              <w:ind w:left="117"/>
              <w:rPr>
                <w:sz w:val="21"/>
              </w:rPr>
            </w:pPr>
            <w:r>
              <w:rPr>
                <w:sz w:val="21"/>
              </w:rPr>
              <w:t>实用功能模块，实现能效多维度分析；</w:t>
            </w:r>
          </w:p>
        </w:tc>
        <w:tc>
          <w:tcPr>
            <w:tcW w:w="994" w:type="dxa"/>
            <w:tcBorders>
              <w:top w:val="nil"/>
              <w:left w:val="single" w:sz="4" w:space="0" w:color="000000"/>
              <w:bottom w:val="nil"/>
              <w:right w:val="single" w:sz="4" w:space="0" w:color="000000"/>
            </w:tcBorders>
          </w:tcPr>
          <w:p>
            <w:pPr>
              <w:pStyle w:val="TableParagraph"/>
              <w:rPr>
                <w:rFonts w:ascii="Times New Roman"/>
                <w:sz w:val="20"/>
              </w:rPr>
            </w:pPr>
          </w:p>
        </w:tc>
        <w:tc>
          <w:tcPr>
            <w:tcW w:w="1167" w:type="dxa"/>
            <w:tcBorders>
              <w:top w:val="nil"/>
              <w:left w:val="single" w:sz="4" w:space="0" w:color="000000"/>
              <w:bottom w:val="nil"/>
            </w:tcBorders>
          </w:tcPr>
          <w:p>
            <w:pPr>
              <w:pStyle w:val="TableParagraph"/>
              <w:rPr>
                <w:rFonts w:ascii="Times New Roman"/>
                <w:sz w:val="20"/>
              </w:rPr>
            </w:pPr>
          </w:p>
        </w:tc>
      </w:tr>
      <w:tr>
        <w:trPr>
          <w:trHeight w:val="514" w:hRule="atLeast"/>
        </w:trPr>
        <w:tc>
          <w:tcPr>
            <w:tcW w:w="636" w:type="dxa"/>
            <w:tcBorders>
              <w:top w:val="nil"/>
              <w:bottom w:val="nil"/>
              <w:right w:val="single" w:sz="4" w:space="0" w:color="000000"/>
            </w:tcBorders>
          </w:tcPr>
          <w:p>
            <w:pPr>
              <w:pStyle w:val="TableParagraph"/>
              <w:rPr>
                <w:rFonts w:ascii="Times New Roman"/>
                <w:sz w:val="20"/>
              </w:rPr>
            </w:pPr>
          </w:p>
        </w:tc>
        <w:tc>
          <w:tcPr>
            <w:tcW w:w="775" w:type="dxa"/>
            <w:vMerge/>
            <w:tcBorders>
              <w:top w:val="nil"/>
              <w:left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20"/>
              </w:rPr>
            </w:pPr>
          </w:p>
        </w:tc>
        <w:tc>
          <w:tcPr>
            <w:tcW w:w="5064" w:type="dxa"/>
            <w:tcBorders>
              <w:top w:val="nil"/>
              <w:left w:val="single" w:sz="4" w:space="0" w:color="000000"/>
              <w:bottom w:val="nil"/>
              <w:right w:val="single" w:sz="4" w:space="0" w:color="000000"/>
            </w:tcBorders>
          </w:tcPr>
          <w:p>
            <w:pPr>
              <w:pStyle w:val="TableParagraph"/>
              <w:rPr>
                <w:rFonts w:ascii="Times New Roman"/>
                <w:sz w:val="20"/>
              </w:rPr>
            </w:pPr>
          </w:p>
        </w:tc>
        <w:tc>
          <w:tcPr>
            <w:tcW w:w="3708" w:type="dxa"/>
            <w:tcBorders>
              <w:top w:val="nil"/>
              <w:left w:val="single" w:sz="4" w:space="0" w:color="000000"/>
              <w:bottom w:val="nil"/>
              <w:right w:val="single" w:sz="4" w:space="0" w:color="000000"/>
            </w:tcBorders>
          </w:tcPr>
          <w:p>
            <w:pPr>
              <w:pStyle w:val="TableParagraph"/>
              <w:spacing w:line="257" w:lineRule="exact"/>
              <w:ind w:left="117"/>
              <w:rPr>
                <w:sz w:val="21"/>
              </w:rPr>
            </w:pPr>
            <w:r>
              <w:rPr>
                <w:sz w:val="21"/>
              </w:rPr>
              <w:t>实现高耗能工艺设备的用能和与能耗</w:t>
            </w:r>
          </w:p>
          <w:p>
            <w:pPr>
              <w:pStyle w:val="TableParagraph"/>
              <w:spacing w:line="236" w:lineRule="exact" w:before="2"/>
              <w:ind w:left="117" w:right="-29"/>
              <w:rPr>
                <w:sz w:val="21"/>
              </w:rPr>
            </w:pPr>
            <w:r>
              <w:rPr>
                <w:spacing w:val="-16"/>
                <w:sz w:val="21"/>
              </w:rPr>
              <w:t>相关工艺参数的在线监测；兼容电、气、</w:t>
            </w:r>
          </w:p>
        </w:tc>
        <w:tc>
          <w:tcPr>
            <w:tcW w:w="994" w:type="dxa"/>
            <w:tcBorders>
              <w:top w:val="nil"/>
              <w:left w:val="single" w:sz="4" w:space="0" w:color="000000"/>
              <w:bottom w:val="nil"/>
              <w:right w:val="single" w:sz="4" w:space="0" w:color="000000"/>
            </w:tcBorders>
          </w:tcPr>
          <w:p>
            <w:pPr>
              <w:pStyle w:val="TableParagraph"/>
              <w:rPr>
                <w:rFonts w:ascii="Times New Roman"/>
                <w:sz w:val="20"/>
              </w:rPr>
            </w:pPr>
          </w:p>
        </w:tc>
        <w:tc>
          <w:tcPr>
            <w:tcW w:w="1167" w:type="dxa"/>
            <w:tcBorders>
              <w:top w:val="nil"/>
              <w:left w:val="single" w:sz="4" w:space="0" w:color="000000"/>
              <w:bottom w:val="nil"/>
            </w:tcBorders>
          </w:tcPr>
          <w:p>
            <w:pPr>
              <w:pStyle w:val="TableParagraph"/>
              <w:rPr>
                <w:rFonts w:ascii="Times New Roman"/>
                <w:sz w:val="20"/>
              </w:rPr>
            </w:pPr>
          </w:p>
        </w:tc>
      </w:tr>
      <w:tr>
        <w:trPr>
          <w:trHeight w:val="514" w:hRule="atLeast"/>
        </w:trPr>
        <w:tc>
          <w:tcPr>
            <w:tcW w:w="636" w:type="dxa"/>
            <w:tcBorders>
              <w:top w:val="nil"/>
              <w:bottom w:val="nil"/>
              <w:right w:val="single" w:sz="4" w:space="0" w:color="000000"/>
            </w:tcBorders>
          </w:tcPr>
          <w:p>
            <w:pPr>
              <w:pStyle w:val="TableParagraph"/>
              <w:rPr>
                <w:rFonts w:ascii="Times New Roman"/>
                <w:sz w:val="20"/>
              </w:rPr>
            </w:pPr>
          </w:p>
        </w:tc>
        <w:tc>
          <w:tcPr>
            <w:tcW w:w="775" w:type="dxa"/>
            <w:vMerge/>
            <w:tcBorders>
              <w:top w:val="nil"/>
              <w:left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20"/>
              </w:rPr>
            </w:pPr>
          </w:p>
        </w:tc>
        <w:tc>
          <w:tcPr>
            <w:tcW w:w="5064" w:type="dxa"/>
            <w:tcBorders>
              <w:top w:val="nil"/>
              <w:left w:val="single" w:sz="4" w:space="0" w:color="000000"/>
              <w:bottom w:val="nil"/>
              <w:right w:val="single" w:sz="4" w:space="0" w:color="000000"/>
            </w:tcBorders>
          </w:tcPr>
          <w:p>
            <w:pPr>
              <w:pStyle w:val="TableParagraph"/>
              <w:rPr>
                <w:rFonts w:ascii="Times New Roman"/>
                <w:sz w:val="20"/>
              </w:rPr>
            </w:pPr>
          </w:p>
        </w:tc>
        <w:tc>
          <w:tcPr>
            <w:tcW w:w="3708" w:type="dxa"/>
            <w:tcBorders>
              <w:top w:val="nil"/>
              <w:left w:val="single" w:sz="4" w:space="0" w:color="000000"/>
              <w:bottom w:val="nil"/>
              <w:right w:val="single" w:sz="4" w:space="0" w:color="000000"/>
            </w:tcBorders>
          </w:tcPr>
          <w:p>
            <w:pPr>
              <w:pStyle w:val="TableParagraph"/>
              <w:spacing w:line="257" w:lineRule="exact"/>
              <w:ind w:left="117"/>
              <w:rPr>
                <w:sz w:val="21"/>
              </w:rPr>
            </w:pPr>
            <w:r>
              <w:rPr>
                <w:sz w:val="21"/>
              </w:rPr>
              <w:t>水、热、新能源等能源数据以及环保、</w:t>
            </w:r>
          </w:p>
          <w:p>
            <w:pPr>
              <w:pStyle w:val="TableParagraph"/>
              <w:spacing w:line="236" w:lineRule="exact" w:before="2"/>
              <w:ind w:left="117"/>
              <w:rPr>
                <w:sz w:val="21"/>
              </w:rPr>
            </w:pPr>
            <w:r>
              <w:rPr>
                <w:sz w:val="21"/>
              </w:rPr>
              <w:t>排放数据接入，实现高耗能工艺设备重</w:t>
            </w:r>
          </w:p>
        </w:tc>
        <w:tc>
          <w:tcPr>
            <w:tcW w:w="994" w:type="dxa"/>
            <w:tcBorders>
              <w:top w:val="nil"/>
              <w:left w:val="single" w:sz="4" w:space="0" w:color="000000"/>
              <w:bottom w:val="nil"/>
              <w:right w:val="single" w:sz="4" w:space="0" w:color="000000"/>
            </w:tcBorders>
          </w:tcPr>
          <w:p>
            <w:pPr>
              <w:pStyle w:val="TableParagraph"/>
              <w:rPr>
                <w:rFonts w:ascii="Times New Roman"/>
                <w:sz w:val="20"/>
              </w:rPr>
            </w:pPr>
          </w:p>
        </w:tc>
        <w:tc>
          <w:tcPr>
            <w:tcW w:w="1167" w:type="dxa"/>
            <w:tcBorders>
              <w:top w:val="nil"/>
              <w:left w:val="single" w:sz="4" w:space="0" w:color="000000"/>
              <w:bottom w:val="nil"/>
            </w:tcBorders>
          </w:tcPr>
          <w:p>
            <w:pPr>
              <w:pStyle w:val="TableParagraph"/>
              <w:rPr>
                <w:rFonts w:ascii="Times New Roman"/>
                <w:sz w:val="20"/>
              </w:rPr>
            </w:pPr>
          </w:p>
        </w:tc>
      </w:tr>
      <w:tr>
        <w:trPr>
          <w:trHeight w:val="1330" w:hRule="atLeast"/>
        </w:trPr>
        <w:tc>
          <w:tcPr>
            <w:tcW w:w="636" w:type="dxa"/>
            <w:tcBorders>
              <w:top w:val="nil"/>
              <w:bottom w:val="nil"/>
              <w:right w:val="single" w:sz="4" w:space="0" w:color="000000"/>
            </w:tcBorders>
          </w:tcPr>
          <w:p>
            <w:pPr>
              <w:pStyle w:val="TableParagraph"/>
              <w:rPr>
                <w:rFonts w:ascii="Times New Roman"/>
                <w:sz w:val="22"/>
              </w:rPr>
            </w:pPr>
          </w:p>
          <w:p>
            <w:pPr>
              <w:pStyle w:val="TableParagraph"/>
              <w:rPr>
                <w:rFonts w:ascii="Times New Roman"/>
                <w:sz w:val="22"/>
              </w:rPr>
            </w:pPr>
          </w:p>
          <w:p>
            <w:pPr>
              <w:pStyle w:val="TableParagraph"/>
              <w:spacing w:before="170"/>
              <w:ind w:left="107"/>
              <w:rPr>
                <w:rFonts w:ascii="Times New Roman"/>
                <w:sz w:val="21"/>
              </w:rPr>
            </w:pPr>
            <w:r>
              <w:rPr>
                <w:rFonts w:ascii="Times New Roman"/>
                <w:sz w:val="21"/>
              </w:rPr>
              <w:t>16</w:t>
            </w:r>
          </w:p>
        </w:tc>
        <w:tc>
          <w:tcPr>
            <w:tcW w:w="775" w:type="dxa"/>
            <w:vMerge/>
            <w:tcBorders>
              <w:top w:val="nil"/>
              <w:left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20"/>
              </w:rPr>
            </w:pPr>
          </w:p>
          <w:p>
            <w:pPr>
              <w:pStyle w:val="TableParagraph"/>
              <w:spacing w:before="3"/>
              <w:rPr>
                <w:rFonts w:ascii="Times New Roman"/>
                <w:sz w:val="26"/>
              </w:rPr>
            </w:pPr>
          </w:p>
          <w:p>
            <w:pPr>
              <w:pStyle w:val="TableParagraph"/>
              <w:spacing w:line="242" w:lineRule="auto"/>
              <w:ind w:left="239" w:right="102" w:hanging="106"/>
              <w:rPr>
                <w:sz w:val="21"/>
              </w:rPr>
            </w:pPr>
            <w:r>
              <w:rPr>
                <w:sz w:val="21"/>
              </w:rPr>
              <w:t>能源管理（高耗能工艺设备）</w:t>
            </w:r>
          </w:p>
        </w:tc>
        <w:tc>
          <w:tcPr>
            <w:tcW w:w="5064" w:type="dxa"/>
            <w:tcBorders>
              <w:top w:val="nil"/>
              <w:left w:val="single" w:sz="4" w:space="0" w:color="000000"/>
              <w:bottom w:val="nil"/>
              <w:right w:val="single" w:sz="4" w:space="0" w:color="000000"/>
            </w:tcBorders>
          </w:tcPr>
          <w:p>
            <w:pPr>
              <w:pStyle w:val="TableParagraph"/>
              <w:spacing w:line="242" w:lineRule="auto"/>
              <w:ind w:left="117" w:right="83"/>
              <w:jc w:val="both"/>
              <w:rPr>
                <w:sz w:val="21"/>
              </w:rPr>
            </w:pPr>
            <w:r>
              <w:rPr>
                <w:spacing w:val="-3"/>
                <w:sz w:val="21"/>
              </w:rPr>
              <w:t>面向非金属制品、金属冶炼、化工、造纸等高耗能流程型行业企业，针对企业高耗能工艺设备能源管理粗放、存在用能监测黑箱问题、工艺设备寿命低、问题点查找困难等，通过对重点高耗能工艺设备的用能监</w:t>
            </w:r>
          </w:p>
          <w:p>
            <w:pPr>
              <w:pStyle w:val="TableParagraph"/>
              <w:spacing w:line="236" w:lineRule="exact"/>
              <w:ind w:left="117"/>
              <w:rPr>
                <w:sz w:val="21"/>
              </w:rPr>
            </w:pPr>
            <w:r>
              <w:rPr>
                <w:spacing w:val="-3"/>
                <w:sz w:val="21"/>
              </w:rPr>
              <w:t>控为核心的企业综合能源管理，提高企业的能源利用</w:t>
            </w:r>
          </w:p>
        </w:tc>
        <w:tc>
          <w:tcPr>
            <w:tcW w:w="3708" w:type="dxa"/>
            <w:tcBorders>
              <w:top w:val="nil"/>
              <w:left w:val="single" w:sz="4" w:space="0" w:color="000000"/>
              <w:bottom w:val="nil"/>
              <w:right w:val="single" w:sz="4" w:space="0" w:color="000000"/>
            </w:tcBorders>
          </w:tcPr>
          <w:p>
            <w:pPr>
              <w:pStyle w:val="TableParagraph"/>
              <w:spacing w:line="242" w:lineRule="auto"/>
              <w:ind w:left="117" w:right="81"/>
              <w:jc w:val="both"/>
              <w:rPr>
                <w:sz w:val="21"/>
              </w:rPr>
            </w:pPr>
            <w:r>
              <w:rPr>
                <w:spacing w:val="-8"/>
                <w:sz w:val="21"/>
              </w:rPr>
              <w:t>点能源种类的数据采集和在线监测，与</w:t>
            </w:r>
            <w:r>
              <w:rPr>
                <w:rFonts w:ascii="Times New Roman" w:eastAsia="Times New Roman"/>
                <w:spacing w:val="-8"/>
                <w:sz w:val="21"/>
              </w:rPr>
              <w:t>DCS</w:t>
            </w:r>
            <w:r>
              <w:rPr>
                <w:spacing w:val="-44"/>
                <w:sz w:val="21"/>
              </w:rPr>
              <w:t>、</w:t>
            </w:r>
            <w:r>
              <w:rPr>
                <w:rFonts w:ascii="Times New Roman" w:eastAsia="Times New Roman"/>
                <w:sz w:val="21"/>
              </w:rPr>
              <w:t>ERP</w:t>
            </w:r>
            <w:r>
              <w:rPr>
                <w:rFonts w:ascii="Times New Roman" w:eastAsia="Times New Roman"/>
                <w:spacing w:val="7"/>
                <w:sz w:val="21"/>
              </w:rPr>
              <w:t> </w:t>
            </w:r>
            <w:r>
              <w:rPr>
                <w:spacing w:val="-8"/>
                <w:sz w:val="21"/>
              </w:rPr>
              <w:t>等其它系统对接集成；实现</w:t>
            </w:r>
            <w:r>
              <w:rPr>
                <w:spacing w:val="-12"/>
                <w:sz w:val="21"/>
              </w:rPr>
              <w:t>数据汇总分析功能，自动生成重点高耗</w:t>
            </w:r>
            <w:r>
              <w:rPr>
                <w:spacing w:val="-7"/>
                <w:sz w:val="21"/>
              </w:rPr>
              <w:t>能工艺设备的分析报告</w:t>
            </w:r>
            <w:r>
              <w:rPr>
                <w:spacing w:val="-3"/>
                <w:sz w:val="21"/>
              </w:rPr>
              <w:t>（</w:t>
            </w:r>
            <w:r>
              <w:rPr>
                <w:spacing w:val="-10"/>
                <w:sz w:val="21"/>
              </w:rPr>
              <w:t>能耗分析、运</w:t>
            </w:r>
          </w:p>
          <w:p>
            <w:pPr>
              <w:pStyle w:val="TableParagraph"/>
              <w:spacing w:line="236" w:lineRule="exact"/>
              <w:ind w:left="117"/>
              <w:rPr>
                <w:sz w:val="21"/>
              </w:rPr>
            </w:pPr>
            <w:r>
              <w:rPr>
                <w:spacing w:val="-12"/>
                <w:sz w:val="21"/>
              </w:rPr>
              <w:t>行状态分析、能源平衡图、能源成本量</w:t>
            </w:r>
          </w:p>
        </w:tc>
        <w:tc>
          <w:tcPr>
            <w:tcW w:w="994" w:type="dxa"/>
            <w:tcBorders>
              <w:top w:val="nil"/>
              <w:left w:val="single" w:sz="4" w:space="0" w:color="000000"/>
              <w:bottom w:val="nil"/>
              <w:right w:val="single" w:sz="4" w:space="0" w:color="000000"/>
            </w:tcBorders>
          </w:tcPr>
          <w:p>
            <w:pPr>
              <w:pStyle w:val="TableParagraph"/>
              <w:rPr>
                <w:rFonts w:ascii="Times New Roman"/>
                <w:sz w:val="22"/>
              </w:rPr>
            </w:pPr>
          </w:p>
          <w:p>
            <w:pPr>
              <w:pStyle w:val="TableParagraph"/>
              <w:rPr>
                <w:rFonts w:ascii="Times New Roman"/>
                <w:sz w:val="22"/>
              </w:rPr>
            </w:pPr>
          </w:p>
          <w:p>
            <w:pPr>
              <w:pStyle w:val="TableParagraph"/>
              <w:spacing w:before="161"/>
              <w:ind w:left="117"/>
              <w:rPr>
                <w:sz w:val="21"/>
              </w:rPr>
            </w:pPr>
            <w:r>
              <w:rPr>
                <w:rFonts w:ascii="Times New Roman" w:eastAsia="Times New Roman"/>
                <w:sz w:val="21"/>
              </w:rPr>
              <w:t>25 </w:t>
            </w:r>
            <w:r>
              <w:rPr>
                <w:sz w:val="21"/>
              </w:rPr>
              <w:t>万元</w:t>
            </w:r>
          </w:p>
        </w:tc>
        <w:tc>
          <w:tcPr>
            <w:tcW w:w="1167" w:type="dxa"/>
            <w:tcBorders>
              <w:top w:val="nil"/>
              <w:left w:val="single" w:sz="4" w:space="0" w:color="000000"/>
              <w:bottom w:val="nil"/>
            </w:tcBorders>
          </w:tcPr>
          <w:p>
            <w:pPr>
              <w:pStyle w:val="TableParagraph"/>
              <w:spacing w:before="5"/>
              <w:rPr>
                <w:rFonts w:ascii="Times New Roman"/>
                <w:sz w:val="22"/>
              </w:rPr>
            </w:pPr>
          </w:p>
          <w:p>
            <w:pPr>
              <w:pStyle w:val="TableParagraph"/>
              <w:spacing w:line="242" w:lineRule="auto" w:before="1"/>
              <w:ind w:left="117" w:right="74"/>
              <w:jc w:val="both"/>
              <w:rPr>
                <w:sz w:val="21"/>
              </w:rPr>
            </w:pPr>
            <w:r>
              <w:rPr>
                <w:sz w:val="21"/>
              </w:rPr>
              <w:t>选项功能不作为奖补强制要</w:t>
            </w:r>
          </w:p>
          <w:p>
            <w:pPr>
              <w:pStyle w:val="TableParagraph"/>
              <w:spacing w:line="236" w:lineRule="exact"/>
              <w:ind w:left="117"/>
              <w:rPr>
                <w:sz w:val="21"/>
              </w:rPr>
            </w:pPr>
            <w:r>
              <w:rPr>
                <w:sz w:val="21"/>
              </w:rPr>
              <w:t>求。</w:t>
            </w:r>
          </w:p>
        </w:tc>
      </w:tr>
      <w:tr>
        <w:trPr>
          <w:trHeight w:val="514" w:hRule="atLeast"/>
        </w:trPr>
        <w:tc>
          <w:tcPr>
            <w:tcW w:w="636" w:type="dxa"/>
            <w:tcBorders>
              <w:top w:val="nil"/>
              <w:bottom w:val="nil"/>
              <w:right w:val="single" w:sz="4" w:space="0" w:color="000000"/>
            </w:tcBorders>
          </w:tcPr>
          <w:p>
            <w:pPr>
              <w:pStyle w:val="TableParagraph"/>
              <w:rPr>
                <w:rFonts w:ascii="Times New Roman"/>
                <w:sz w:val="20"/>
              </w:rPr>
            </w:pPr>
          </w:p>
        </w:tc>
        <w:tc>
          <w:tcPr>
            <w:tcW w:w="775" w:type="dxa"/>
            <w:vMerge/>
            <w:tcBorders>
              <w:top w:val="nil"/>
              <w:left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20"/>
              </w:rPr>
            </w:pPr>
          </w:p>
        </w:tc>
        <w:tc>
          <w:tcPr>
            <w:tcW w:w="5064" w:type="dxa"/>
            <w:tcBorders>
              <w:top w:val="nil"/>
              <w:left w:val="single" w:sz="4" w:space="0" w:color="000000"/>
              <w:bottom w:val="nil"/>
              <w:right w:val="single" w:sz="4" w:space="0" w:color="000000"/>
            </w:tcBorders>
          </w:tcPr>
          <w:p>
            <w:pPr>
              <w:pStyle w:val="TableParagraph"/>
              <w:spacing w:line="257" w:lineRule="exact"/>
              <w:ind w:left="117"/>
              <w:rPr>
                <w:sz w:val="21"/>
              </w:rPr>
            </w:pPr>
            <w:r>
              <w:rPr>
                <w:sz w:val="21"/>
              </w:rPr>
              <w:t>水平和用能安全水平，减少用能污染的排放。</w:t>
            </w:r>
          </w:p>
        </w:tc>
        <w:tc>
          <w:tcPr>
            <w:tcW w:w="3708" w:type="dxa"/>
            <w:tcBorders>
              <w:top w:val="nil"/>
              <w:left w:val="single" w:sz="4" w:space="0" w:color="000000"/>
              <w:bottom w:val="nil"/>
              <w:right w:val="single" w:sz="4" w:space="0" w:color="000000"/>
            </w:tcBorders>
          </w:tcPr>
          <w:p>
            <w:pPr>
              <w:pStyle w:val="TableParagraph"/>
              <w:spacing w:line="257" w:lineRule="exact"/>
              <w:ind w:left="117"/>
              <w:rPr>
                <w:sz w:val="21"/>
              </w:rPr>
            </w:pPr>
            <w:r>
              <w:rPr>
                <w:spacing w:val="-1"/>
                <w:w w:val="100"/>
                <w:sz w:val="21"/>
              </w:rPr>
              <w:t>化绩效等</w:t>
            </w:r>
            <w:r>
              <w:rPr>
                <w:spacing w:val="-104"/>
                <w:w w:val="100"/>
                <w:sz w:val="21"/>
              </w:rPr>
              <w:t>）</w:t>
            </w:r>
            <w:r>
              <w:rPr>
                <w:spacing w:val="-1"/>
                <w:w w:val="100"/>
                <w:sz w:val="21"/>
              </w:rPr>
              <w:t>，能自动生成能源管理相关</w:t>
            </w:r>
          </w:p>
          <w:p>
            <w:pPr>
              <w:pStyle w:val="TableParagraph"/>
              <w:spacing w:line="236" w:lineRule="exact" w:before="2"/>
              <w:ind w:left="117"/>
              <w:rPr>
                <w:sz w:val="21"/>
              </w:rPr>
            </w:pPr>
            <w:r>
              <w:rPr>
                <w:spacing w:val="-11"/>
                <w:sz w:val="21"/>
              </w:rPr>
              <w:t>报表和绩效分析报告，针对性给出建议</w:t>
            </w:r>
          </w:p>
        </w:tc>
        <w:tc>
          <w:tcPr>
            <w:tcW w:w="994" w:type="dxa"/>
            <w:tcBorders>
              <w:top w:val="nil"/>
              <w:left w:val="single" w:sz="4" w:space="0" w:color="000000"/>
              <w:bottom w:val="nil"/>
              <w:right w:val="single" w:sz="4" w:space="0" w:color="000000"/>
            </w:tcBorders>
          </w:tcPr>
          <w:p>
            <w:pPr>
              <w:pStyle w:val="TableParagraph"/>
              <w:rPr>
                <w:rFonts w:ascii="Times New Roman"/>
                <w:sz w:val="20"/>
              </w:rPr>
            </w:pPr>
          </w:p>
        </w:tc>
        <w:tc>
          <w:tcPr>
            <w:tcW w:w="1167" w:type="dxa"/>
            <w:tcBorders>
              <w:top w:val="nil"/>
              <w:left w:val="single" w:sz="4" w:space="0" w:color="000000"/>
              <w:bottom w:val="nil"/>
            </w:tcBorders>
          </w:tcPr>
          <w:p>
            <w:pPr>
              <w:pStyle w:val="TableParagraph"/>
              <w:rPr>
                <w:rFonts w:ascii="Times New Roman"/>
                <w:sz w:val="20"/>
              </w:rPr>
            </w:pPr>
          </w:p>
        </w:tc>
      </w:tr>
      <w:tr>
        <w:trPr>
          <w:trHeight w:val="302" w:hRule="atLeast"/>
        </w:trPr>
        <w:tc>
          <w:tcPr>
            <w:tcW w:w="636" w:type="dxa"/>
            <w:tcBorders>
              <w:top w:val="nil"/>
              <w:bottom w:val="nil"/>
              <w:right w:val="single" w:sz="4" w:space="0" w:color="000000"/>
            </w:tcBorders>
          </w:tcPr>
          <w:p>
            <w:pPr>
              <w:pStyle w:val="TableParagraph"/>
              <w:rPr>
                <w:rFonts w:ascii="Times New Roman"/>
                <w:sz w:val="20"/>
              </w:rPr>
            </w:pPr>
          </w:p>
        </w:tc>
        <w:tc>
          <w:tcPr>
            <w:tcW w:w="775" w:type="dxa"/>
            <w:vMerge/>
            <w:tcBorders>
              <w:top w:val="nil"/>
              <w:left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20"/>
              </w:rPr>
            </w:pPr>
          </w:p>
        </w:tc>
        <w:tc>
          <w:tcPr>
            <w:tcW w:w="5064" w:type="dxa"/>
            <w:tcBorders>
              <w:top w:val="nil"/>
              <w:left w:val="single" w:sz="4" w:space="0" w:color="000000"/>
              <w:bottom w:val="nil"/>
              <w:right w:val="single" w:sz="4" w:space="0" w:color="000000"/>
            </w:tcBorders>
          </w:tcPr>
          <w:p>
            <w:pPr>
              <w:pStyle w:val="TableParagraph"/>
              <w:rPr>
                <w:rFonts w:ascii="Times New Roman"/>
                <w:sz w:val="20"/>
              </w:rPr>
            </w:pPr>
          </w:p>
        </w:tc>
        <w:tc>
          <w:tcPr>
            <w:tcW w:w="3708" w:type="dxa"/>
            <w:tcBorders>
              <w:top w:val="nil"/>
              <w:left w:val="single" w:sz="4" w:space="0" w:color="000000"/>
              <w:bottom w:val="nil"/>
              <w:right w:val="single" w:sz="4" w:space="0" w:color="000000"/>
            </w:tcBorders>
          </w:tcPr>
          <w:p>
            <w:pPr>
              <w:pStyle w:val="TableParagraph"/>
              <w:spacing w:line="257" w:lineRule="exact"/>
              <w:ind w:left="117"/>
              <w:rPr>
                <w:sz w:val="21"/>
              </w:rPr>
            </w:pPr>
            <w:r>
              <w:rPr>
                <w:sz w:val="21"/>
              </w:rPr>
              <w:t>和解决方案。</w:t>
            </w:r>
          </w:p>
        </w:tc>
        <w:tc>
          <w:tcPr>
            <w:tcW w:w="994" w:type="dxa"/>
            <w:tcBorders>
              <w:top w:val="nil"/>
              <w:left w:val="single" w:sz="4" w:space="0" w:color="000000"/>
              <w:bottom w:val="nil"/>
              <w:right w:val="single" w:sz="4" w:space="0" w:color="000000"/>
            </w:tcBorders>
          </w:tcPr>
          <w:p>
            <w:pPr>
              <w:pStyle w:val="TableParagraph"/>
              <w:rPr>
                <w:rFonts w:ascii="Times New Roman"/>
                <w:sz w:val="20"/>
              </w:rPr>
            </w:pPr>
          </w:p>
        </w:tc>
        <w:tc>
          <w:tcPr>
            <w:tcW w:w="1167" w:type="dxa"/>
            <w:tcBorders>
              <w:top w:val="nil"/>
              <w:left w:val="single" w:sz="4" w:space="0" w:color="000000"/>
              <w:bottom w:val="nil"/>
            </w:tcBorders>
          </w:tcPr>
          <w:p>
            <w:pPr>
              <w:pStyle w:val="TableParagraph"/>
              <w:rPr>
                <w:rFonts w:ascii="Times New Roman"/>
                <w:sz w:val="20"/>
              </w:rPr>
            </w:pPr>
          </w:p>
        </w:tc>
      </w:tr>
      <w:tr>
        <w:trPr>
          <w:trHeight w:val="302" w:hRule="atLeast"/>
        </w:trPr>
        <w:tc>
          <w:tcPr>
            <w:tcW w:w="636" w:type="dxa"/>
            <w:tcBorders>
              <w:top w:val="nil"/>
              <w:bottom w:val="nil"/>
              <w:right w:val="single" w:sz="4" w:space="0" w:color="000000"/>
            </w:tcBorders>
          </w:tcPr>
          <w:p>
            <w:pPr>
              <w:pStyle w:val="TableParagraph"/>
              <w:rPr>
                <w:rFonts w:ascii="Times New Roman"/>
                <w:sz w:val="20"/>
              </w:rPr>
            </w:pPr>
          </w:p>
        </w:tc>
        <w:tc>
          <w:tcPr>
            <w:tcW w:w="775" w:type="dxa"/>
            <w:vMerge/>
            <w:tcBorders>
              <w:top w:val="nil"/>
              <w:left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20"/>
              </w:rPr>
            </w:pPr>
          </w:p>
        </w:tc>
        <w:tc>
          <w:tcPr>
            <w:tcW w:w="5064" w:type="dxa"/>
            <w:tcBorders>
              <w:top w:val="nil"/>
              <w:left w:val="single" w:sz="4" w:space="0" w:color="000000"/>
              <w:bottom w:val="nil"/>
              <w:right w:val="single" w:sz="4" w:space="0" w:color="000000"/>
            </w:tcBorders>
          </w:tcPr>
          <w:p>
            <w:pPr>
              <w:pStyle w:val="TableParagraph"/>
              <w:rPr>
                <w:rFonts w:ascii="Times New Roman"/>
                <w:sz w:val="20"/>
              </w:rPr>
            </w:pPr>
          </w:p>
        </w:tc>
        <w:tc>
          <w:tcPr>
            <w:tcW w:w="3708" w:type="dxa"/>
            <w:tcBorders>
              <w:top w:val="nil"/>
              <w:left w:val="single" w:sz="4" w:space="0" w:color="000000"/>
              <w:bottom w:val="nil"/>
              <w:right w:val="single" w:sz="4" w:space="0" w:color="000000"/>
            </w:tcBorders>
          </w:tcPr>
          <w:p>
            <w:pPr>
              <w:pStyle w:val="TableParagraph"/>
              <w:spacing w:line="236" w:lineRule="exact" w:before="46"/>
              <w:ind w:left="117"/>
              <w:rPr>
                <w:sz w:val="21"/>
              </w:rPr>
            </w:pPr>
            <w:r>
              <w:rPr>
                <w:sz w:val="21"/>
              </w:rPr>
              <w:t>选项功能：部分可实现高耗能工艺设备</w:t>
            </w:r>
          </w:p>
        </w:tc>
        <w:tc>
          <w:tcPr>
            <w:tcW w:w="994" w:type="dxa"/>
            <w:tcBorders>
              <w:top w:val="nil"/>
              <w:left w:val="single" w:sz="4" w:space="0" w:color="000000"/>
              <w:bottom w:val="nil"/>
              <w:right w:val="single" w:sz="4" w:space="0" w:color="000000"/>
            </w:tcBorders>
          </w:tcPr>
          <w:p>
            <w:pPr>
              <w:pStyle w:val="TableParagraph"/>
              <w:rPr>
                <w:rFonts w:ascii="Times New Roman"/>
                <w:sz w:val="20"/>
              </w:rPr>
            </w:pPr>
          </w:p>
        </w:tc>
        <w:tc>
          <w:tcPr>
            <w:tcW w:w="1167" w:type="dxa"/>
            <w:tcBorders>
              <w:top w:val="nil"/>
              <w:left w:val="single" w:sz="4" w:space="0" w:color="000000"/>
              <w:bottom w:val="nil"/>
            </w:tcBorders>
          </w:tcPr>
          <w:p>
            <w:pPr>
              <w:pStyle w:val="TableParagraph"/>
              <w:rPr>
                <w:rFonts w:ascii="Times New Roman"/>
                <w:sz w:val="20"/>
              </w:rPr>
            </w:pPr>
          </w:p>
        </w:tc>
      </w:tr>
      <w:tr>
        <w:trPr>
          <w:trHeight w:val="514" w:hRule="atLeast"/>
        </w:trPr>
        <w:tc>
          <w:tcPr>
            <w:tcW w:w="636" w:type="dxa"/>
            <w:tcBorders>
              <w:top w:val="nil"/>
              <w:bottom w:val="nil"/>
              <w:right w:val="single" w:sz="4" w:space="0" w:color="000000"/>
            </w:tcBorders>
          </w:tcPr>
          <w:p>
            <w:pPr>
              <w:pStyle w:val="TableParagraph"/>
              <w:rPr>
                <w:rFonts w:ascii="Times New Roman"/>
                <w:sz w:val="20"/>
              </w:rPr>
            </w:pPr>
          </w:p>
        </w:tc>
        <w:tc>
          <w:tcPr>
            <w:tcW w:w="775" w:type="dxa"/>
            <w:vMerge/>
            <w:tcBorders>
              <w:top w:val="nil"/>
              <w:left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20"/>
              </w:rPr>
            </w:pPr>
          </w:p>
        </w:tc>
        <w:tc>
          <w:tcPr>
            <w:tcW w:w="5064" w:type="dxa"/>
            <w:tcBorders>
              <w:top w:val="nil"/>
              <w:left w:val="single" w:sz="4" w:space="0" w:color="000000"/>
              <w:bottom w:val="nil"/>
              <w:right w:val="single" w:sz="4" w:space="0" w:color="000000"/>
            </w:tcBorders>
          </w:tcPr>
          <w:p>
            <w:pPr>
              <w:pStyle w:val="TableParagraph"/>
              <w:rPr>
                <w:rFonts w:ascii="Times New Roman"/>
                <w:sz w:val="20"/>
              </w:rPr>
            </w:pPr>
          </w:p>
        </w:tc>
        <w:tc>
          <w:tcPr>
            <w:tcW w:w="3708" w:type="dxa"/>
            <w:tcBorders>
              <w:top w:val="nil"/>
              <w:left w:val="single" w:sz="4" w:space="0" w:color="000000"/>
              <w:bottom w:val="nil"/>
              <w:right w:val="single" w:sz="4" w:space="0" w:color="000000"/>
            </w:tcBorders>
          </w:tcPr>
          <w:p>
            <w:pPr>
              <w:pStyle w:val="TableParagraph"/>
              <w:spacing w:line="257" w:lineRule="exact"/>
              <w:ind w:left="117"/>
              <w:rPr>
                <w:sz w:val="21"/>
              </w:rPr>
            </w:pPr>
            <w:r>
              <w:rPr>
                <w:sz w:val="21"/>
              </w:rPr>
              <w:t>用能模型搭建及分析，可实现企业综合</w:t>
            </w:r>
          </w:p>
          <w:p>
            <w:pPr>
              <w:pStyle w:val="TableParagraph"/>
              <w:spacing w:line="236" w:lineRule="exact" w:before="2"/>
              <w:ind w:left="117"/>
              <w:rPr>
                <w:sz w:val="21"/>
              </w:rPr>
            </w:pPr>
            <w:r>
              <w:rPr>
                <w:sz w:val="21"/>
              </w:rPr>
              <w:t>能源控制使用目标管理（包括碳排放、</w:t>
            </w:r>
          </w:p>
        </w:tc>
        <w:tc>
          <w:tcPr>
            <w:tcW w:w="994" w:type="dxa"/>
            <w:tcBorders>
              <w:top w:val="nil"/>
              <w:left w:val="single" w:sz="4" w:space="0" w:color="000000"/>
              <w:bottom w:val="nil"/>
              <w:right w:val="single" w:sz="4" w:space="0" w:color="000000"/>
            </w:tcBorders>
          </w:tcPr>
          <w:p>
            <w:pPr>
              <w:pStyle w:val="TableParagraph"/>
              <w:rPr>
                <w:rFonts w:ascii="Times New Roman"/>
                <w:sz w:val="20"/>
              </w:rPr>
            </w:pPr>
          </w:p>
        </w:tc>
        <w:tc>
          <w:tcPr>
            <w:tcW w:w="1167" w:type="dxa"/>
            <w:tcBorders>
              <w:top w:val="nil"/>
              <w:left w:val="single" w:sz="4" w:space="0" w:color="000000"/>
              <w:bottom w:val="nil"/>
            </w:tcBorders>
          </w:tcPr>
          <w:p>
            <w:pPr>
              <w:pStyle w:val="TableParagraph"/>
              <w:rPr>
                <w:rFonts w:ascii="Times New Roman"/>
                <w:sz w:val="20"/>
              </w:rPr>
            </w:pPr>
          </w:p>
        </w:tc>
      </w:tr>
      <w:tr>
        <w:trPr>
          <w:trHeight w:val="528" w:hRule="atLeast"/>
        </w:trPr>
        <w:tc>
          <w:tcPr>
            <w:tcW w:w="636" w:type="dxa"/>
            <w:tcBorders>
              <w:top w:val="nil"/>
              <w:right w:val="single" w:sz="4" w:space="0" w:color="000000"/>
            </w:tcBorders>
          </w:tcPr>
          <w:p>
            <w:pPr>
              <w:pStyle w:val="TableParagraph"/>
              <w:rPr>
                <w:rFonts w:ascii="Times New Roman"/>
                <w:sz w:val="20"/>
              </w:rPr>
            </w:pPr>
          </w:p>
        </w:tc>
        <w:tc>
          <w:tcPr>
            <w:tcW w:w="775" w:type="dxa"/>
            <w:vMerge/>
            <w:tcBorders>
              <w:top w:val="nil"/>
              <w:left w:val="single" w:sz="4" w:space="0" w:color="000000"/>
              <w:right w:val="single" w:sz="4" w:space="0" w:color="000000"/>
            </w:tcBorders>
          </w:tcPr>
          <w:p>
            <w:pPr>
              <w:rPr>
                <w:sz w:val="2"/>
                <w:szCs w:val="2"/>
              </w:rPr>
            </w:pPr>
          </w:p>
        </w:tc>
        <w:tc>
          <w:tcPr>
            <w:tcW w:w="1723" w:type="dxa"/>
            <w:tcBorders>
              <w:top w:val="nil"/>
              <w:left w:val="single" w:sz="4" w:space="0" w:color="000000"/>
              <w:right w:val="single" w:sz="4" w:space="0" w:color="000000"/>
            </w:tcBorders>
          </w:tcPr>
          <w:p>
            <w:pPr>
              <w:pStyle w:val="TableParagraph"/>
              <w:rPr>
                <w:rFonts w:ascii="Times New Roman"/>
                <w:sz w:val="20"/>
              </w:rPr>
            </w:pPr>
          </w:p>
        </w:tc>
        <w:tc>
          <w:tcPr>
            <w:tcW w:w="5064" w:type="dxa"/>
            <w:tcBorders>
              <w:top w:val="nil"/>
              <w:left w:val="single" w:sz="4" w:space="0" w:color="000000"/>
              <w:right w:val="single" w:sz="4" w:space="0" w:color="000000"/>
            </w:tcBorders>
          </w:tcPr>
          <w:p>
            <w:pPr>
              <w:pStyle w:val="TableParagraph"/>
              <w:rPr>
                <w:rFonts w:ascii="Times New Roman"/>
                <w:sz w:val="20"/>
              </w:rPr>
            </w:pPr>
          </w:p>
        </w:tc>
        <w:tc>
          <w:tcPr>
            <w:tcW w:w="3708" w:type="dxa"/>
            <w:tcBorders>
              <w:top w:val="nil"/>
              <w:left w:val="single" w:sz="4" w:space="0" w:color="000000"/>
              <w:right w:val="single" w:sz="4" w:space="0" w:color="000000"/>
            </w:tcBorders>
          </w:tcPr>
          <w:p>
            <w:pPr>
              <w:pStyle w:val="TableParagraph"/>
              <w:spacing w:line="257" w:lineRule="exact"/>
              <w:ind w:left="117"/>
              <w:rPr>
                <w:sz w:val="21"/>
              </w:rPr>
            </w:pPr>
            <w:r>
              <w:rPr>
                <w:spacing w:val="-1"/>
                <w:w w:val="100"/>
                <w:sz w:val="21"/>
              </w:rPr>
              <w:t>污染物排放、节能目标、单耗等</w:t>
            </w:r>
            <w:r>
              <w:rPr>
                <w:spacing w:val="-106"/>
                <w:w w:val="100"/>
                <w:sz w:val="21"/>
              </w:rPr>
              <w:t>）</w:t>
            </w:r>
            <w:r>
              <w:rPr>
                <w:spacing w:val="1"/>
                <w:w w:val="100"/>
                <w:sz w:val="21"/>
              </w:rPr>
              <w:t>；可</w:t>
            </w:r>
          </w:p>
          <w:p>
            <w:pPr>
              <w:pStyle w:val="TableParagraph"/>
              <w:spacing w:line="249" w:lineRule="exact" w:before="2"/>
              <w:ind w:left="117"/>
              <w:rPr>
                <w:sz w:val="21"/>
              </w:rPr>
            </w:pPr>
            <w:r>
              <w:rPr>
                <w:spacing w:val="6"/>
                <w:sz w:val="21"/>
              </w:rPr>
              <w:t>实现多种能源直接成本和间接成本的</w:t>
            </w:r>
          </w:p>
        </w:tc>
        <w:tc>
          <w:tcPr>
            <w:tcW w:w="994" w:type="dxa"/>
            <w:tcBorders>
              <w:top w:val="nil"/>
              <w:left w:val="single" w:sz="4" w:space="0" w:color="000000"/>
              <w:right w:val="single" w:sz="4" w:space="0" w:color="000000"/>
            </w:tcBorders>
          </w:tcPr>
          <w:p>
            <w:pPr>
              <w:pStyle w:val="TableParagraph"/>
              <w:rPr>
                <w:rFonts w:ascii="Times New Roman"/>
                <w:sz w:val="20"/>
              </w:rPr>
            </w:pPr>
          </w:p>
        </w:tc>
        <w:tc>
          <w:tcPr>
            <w:tcW w:w="1167" w:type="dxa"/>
            <w:tcBorders>
              <w:top w:val="nil"/>
              <w:left w:val="single" w:sz="4" w:space="0" w:color="000000"/>
            </w:tcBorders>
          </w:tcPr>
          <w:p>
            <w:pPr>
              <w:pStyle w:val="TableParagraph"/>
              <w:rPr>
                <w:rFonts w:ascii="Times New Roman"/>
                <w:sz w:val="20"/>
              </w:rPr>
            </w:pPr>
          </w:p>
        </w:tc>
      </w:tr>
    </w:tbl>
    <w:p>
      <w:pPr>
        <w:spacing w:after="0"/>
        <w:rPr>
          <w:rFonts w:ascii="Times New Roman"/>
          <w:sz w:val="20"/>
        </w:rPr>
        <w:sectPr>
          <w:pgSz w:w="16840" w:h="11900" w:orient="landscape"/>
          <w:pgMar w:header="0" w:footer="1237" w:top="1100" w:bottom="1420" w:left="1320" w:right="1200"/>
        </w:sectPr>
      </w:pPr>
    </w:p>
    <w:p>
      <w:pPr>
        <w:pStyle w:val="BodyText"/>
        <w:rPr>
          <w:rFonts w:ascii="Times New Roman"/>
          <w:sz w:val="20"/>
        </w:rPr>
      </w:pPr>
    </w:p>
    <w:p>
      <w:pPr>
        <w:pStyle w:val="BodyText"/>
        <w:spacing w:before="5" w:after="1"/>
        <w:rPr>
          <w:rFonts w:ascii="Times New Roman"/>
          <w:sz w:val="22"/>
        </w:rPr>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36"/>
        <w:gridCol w:w="775"/>
        <w:gridCol w:w="1723"/>
        <w:gridCol w:w="5064"/>
        <w:gridCol w:w="3708"/>
        <w:gridCol w:w="994"/>
        <w:gridCol w:w="1167"/>
      </w:tblGrid>
      <w:tr>
        <w:trPr>
          <w:trHeight w:val="663" w:hRule="atLeast"/>
        </w:trPr>
        <w:tc>
          <w:tcPr>
            <w:tcW w:w="636" w:type="dxa"/>
            <w:tcBorders>
              <w:right w:val="single" w:sz="4" w:space="0" w:color="000000"/>
            </w:tcBorders>
          </w:tcPr>
          <w:p>
            <w:pPr>
              <w:pStyle w:val="TableParagraph"/>
              <w:spacing w:line="151" w:lineRule="auto" w:before="19"/>
              <w:ind w:left="210" w:right="192"/>
              <w:rPr>
                <w:rFonts w:ascii="思源黑体 CN Bold" w:eastAsia="思源黑体 CN Bold" w:hint="eastAsia"/>
                <w:b/>
                <w:sz w:val="21"/>
              </w:rPr>
            </w:pPr>
            <w:r>
              <w:rPr>
                <w:rFonts w:ascii="思源黑体 CN Bold" w:eastAsia="思源黑体 CN Bold" w:hint="eastAsia"/>
                <w:b/>
                <w:sz w:val="21"/>
              </w:rPr>
              <w:t>序号</w:t>
            </w:r>
          </w:p>
        </w:tc>
        <w:tc>
          <w:tcPr>
            <w:tcW w:w="775" w:type="dxa"/>
            <w:tcBorders>
              <w:left w:val="single" w:sz="4" w:space="0" w:color="000000"/>
              <w:right w:val="single" w:sz="4" w:space="0" w:color="000000"/>
            </w:tcBorders>
          </w:tcPr>
          <w:p>
            <w:pPr>
              <w:pStyle w:val="TableParagraph"/>
              <w:spacing w:line="151" w:lineRule="auto" w:before="19"/>
              <w:ind w:left="184" w:right="155"/>
              <w:rPr>
                <w:rFonts w:ascii="思源黑体 CN Bold" w:eastAsia="思源黑体 CN Bold" w:hint="eastAsia"/>
                <w:b/>
                <w:sz w:val="21"/>
              </w:rPr>
            </w:pPr>
            <w:r>
              <w:rPr>
                <w:rFonts w:ascii="思源黑体 CN Bold" w:eastAsia="思源黑体 CN Bold" w:hint="eastAsia"/>
                <w:b/>
                <w:sz w:val="21"/>
              </w:rPr>
              <w:t>一级目录</w:t>
            </w:r>
          </w:p>
        </w:tc>
        <w:tc>
          <w:tcPr>
            <w:tcW w:w="1723" w:type="dxa"/>
            <w:tcBorders>
              <w:left w:val="single" w:sz="4" w:space="0" w:color="000000"/>
              <w:right w:val="single" w:sz="4" w:space="0" w:color="000000"/>
            </w:tcBorders>
          </w:tcPr>
          <w:p>
            <w:pPr>
              <w:pStyle w:val="TableParagraph"/>
              <w:spacing w:before="43"/>
              <w:ind w:left="220" w:right="191"/>
              <w:jc w:val="center"/>
              <w:rPr>
                <w:rFonts w:ascii="思源黑体 CN Bold" w:eastAsia="思源黑体 CN Bold" w:hint="eastAsia"/>
                <w:b/>
                <w:sz w:val="21"/>
              </w:rPr>
            </w:pPr>
            <w:r>
              <w:rPr>
                <w:rFonts w:ascii="思源黑体 CN Bold" w:eastAsia="思源黑体 CN Bold" w:hint="eastAsia"/>
                <w:b/>
                <w:sz w:val="21"/>
              </w:rPr>
              <w:t>二级目录</w:t>
            </w:r>
          </w:p>
        </w:tc>
        <w:tc>
          <w:tcPr>
            <w:tcW w:w="5064" w:type="dxa"/>
            <w:tcBorders>
              <w:left w:val="single" w:sz="4" w:space="0" w:color="000000"/>
              <w:right w:val="single" w:sz="4" w:space="0" w:color="000000"/>
            </w:tcBorders>
          </w:tcPr>
          <w:p>
            <w:pPr>
              <w:pStyle w:val="TableParagraph"/>
              <w:spacing w:before="43"/>
              <w:ind w:left="1891" w:right="1862"/>
              <w:jc w:val="center"/>
              <w:rPr>
                <w:rFonts w:ascii="思源黑体 CN Bold" w:eastAsia="思源黑体 CN Bold" w:hint="eastAsia"/>
                <w:b/>
                <w:sz w:val="21"/>
              </w:rPr>
            </w:pPr>
            <w:r>
              <w:rPr>
                <w:rFonts w:ascii="思源黑体 CN Bold" w:eastAsia="思源黑体 CN Bold" w:hint="eastAsia"/>
                <w:b/>
                <w:sz w:val="21"/>
              </w:rPr>
              <w:t>主要应用场景</w:t>
            </w:r>
          </w:p>
        </w:tc>
        <w:tc>
          <w:tcPr>
            <w:tcW w:w="3708" w:type="dxa"/>
            <w:tcBorders>
              <w:left w:val="single" w:sz="4" w:space="0" w:color="000000"/>
              <w:right w:val="single" w:sz="4" w:space="0" w:color="000000"/>
            </w:tcBorders>
          </w:tcPr>
          <w:p>
            <w:pPr>
              <w:pStyle w:val="TableParagraph"/>
              <w:spacing w:before="43"/>
              <w:ind w:left="1231"/>
              <w:rPr>
                <w:rFonts w:ascii="思源黑体 CN Bold" w:eastAsia="思源黑体 CN Bold" w:hint="eastAsia"/>
                <w:b/>
                <w:sz w:val="21"/>
              </w:rPr>
            </w:pPr>
            <w:r>
              <w:rPr>
                <w:rFonts w:ascii="思源黑体 CN Bold" w:eastAsia="思源黑体 CN Bold" w:hint="eastAsia"/>
                <w:b/>
                <w:sz w:val="21"/>
              </w:rPr>
              <w:t>主要功能模块</w:t>
            </w:r>
          </w:p>
        </w:tc>
        <w:tc>
          <w:tcPr>
            <w:tcW w:w="994" w:type="dxa"/>
            <w:tcBorders>
              <w:left w:val="single" w:sz="4" w:space="0" w:color="000000"/>
              <w:right w:val="single" w:sz="4" w:space="0" w:color="000000"/>
            </w:tcBorders>
          </w:tcPr>
          <w:p>
            <w:pPr>
              <w:pStyle w:val="TableParagraph"/>
              <w:spacing w:line="151" w:lineRule="auto" w:before="19"/>
              <w:ind w:left="295" w:right="264"/>
              <w:rPr>
                <w:rFonts w:ascii="思源黑体 CN Bold" w:eastAsia="思源黑体 CN Bold" w:hint="eastAsia"/>
                <w:b/>
                <w:sz w:val="21"/>
              </w:rPr>
            </w:pPr>
            <w:r>
              <w:rPr>
                <w:rFonts w:ascii="思源黑体 CN Bold" w:eastAsia="思源黑体 CN Bold" w:hint="eastAsia"/>
                <w:b/>
                <w:sz w:val="21"/>
              </w:rPr>
              <w:t>奖补上限</w:t>
            </w:r>
          </w:p>
        </w:tc>
        <w:tc>
          <w:tcPr>
            <w:tcW w:w="1167" w:type="dxa"/>
            <w:tcBorders>
              <w:left w:val="single" w:sz="4" w:space="0" w:color="000000"/>
            </w:tcBorders>
          </w:tcPr>
          <w:p>
            <w:pPr>
              <w:pStyle w:val="TableParagraph"/>
              <w:spacing w:before="43"/>
              <w:ind w:left="381"/>
              <w:rPr>
                <w:rFonts w:ascii="思源黑体 CN Bold" w:eastAsia="思源黑体 CN Bold" w:hint="eastAsia"/>
                <w:b/>
                <w:sz w:val="21"/>
              </w:rPr>
            </w:pPr>
            <w:r>
              <w:rPr>
                <w:rFonts w:ascii="思源黑体 CN Bold" w:eastAsia="思源黑体 CN Bold" w:hint="eastAsia"/>
                <w:b/>
                <w:sz w:val="21"/>
              </w:rPr>
              <w:t>备注</w:t>
            </w:r>
          </w:p>
        </w:tc>
      </w:tr>
      <w:tr>
        <w:trPr>
          <w:trHeight w:val="2226" w:hRule="atLeast"/>
        </w:trPr>
        <w:tc>
          <w:tcPr>
            <w:tcW w:w="636" w:type="dxa"/>
            <w:tcBorders>
              <w:right w:val="single" w:sz="4" w:space="0" w:color="000000"/>
            </w:tcBorders>
          </w:tcPr>
          <w:p>
            <w:pPr>
              <w:pStyle w:val="TableParagraph"/>
              <w:rPr>
                <w:rFonts w:ascii="Times New Roman"/>
                <w:sz w:val="20"/>
              </w:rPr>
            </w:pPr>
          </w:p>
        </w:tc>
        <w:tc>
          <w:tcPr>
            <w:tcW w:w="775" w:type="dxa"/>
            <w:tcBorders>
              <w:left w:val="single" w:sz="4" w:space="0" w:color="000000"/>
              <w:right w:val="single" w:sz="4" w:space="0" w:color="000000"/>
            </w:tcBorders>
          </w:tcPr>
          <w:p>
            <w:pPr>
              <w:pStyle w:val="TableParagraph"/>
              <w:rPr>
                <w:rFonts w:ascii="Times New Roman"/>
                <w:sz w:val="20"/>
              </w:rPr>
            </w:pPr>
          </w:p>
        </w:tc>
        <w:tc>
          <w:tcPr>
            <w:tcW w:w="1723" w:type="dxa"/>
            <w:tcBorders>
              <w:left w:val="single" w:sz="4" w:space="0" w:color="000000"/>
              <w:right w:val="single" w:sz="4" w:space="0" w:color="000000"/>
            </w:tcBorders>
          </w:tcPr>
          <w:p>
            <w:pPr>
              <w:pStyle w:val="TableParagraph"/>
              <w:rPr>
                <w:rFonts w:ascii="Times New Roman"/>
                <w:sz w:val="20"/>
              </w:rPr>
            </w:pPr>
          </w:p>
        </w:tc>
        <w:tc>
          <w:tcPr>
            <w:tcW w:w="5064" w:type="dxa"/>
            <w:tcBorders>
              <w:left w:val="single" w:sz="4" w:space="0" w:color="000000"/>
              <w:right w:val="single" w:sz="4" w:space="0" w:color="000000"/>
            </w:tcBorders>
          </w:tcPr>
          <w:p>
            <w:pPr>
              <w:pStyle w:val="TableParagraph"/>
              <w:rPr>
                <w:rFonts w:ascii="Times New Roman"/>
                <w:sz w:val="20"/>
              </w:rPr>
            </w:pPr>
          </w:p>
        </w:tc>
        <w:tc>
          <w:tcPr>
            <w:tcW w:w="3708" w:type="dxa"/>
            <w:tcBorders>
              <w:left w:val="single" w:sz="4" w:space="0" w:color="000000"/>
              <w:right w:val="single" w:sz="4" w:space="0" w:color="000000"/>
            </w:tcBorders>
          </w:tcPr>
          <w:p>
            <w:pPr>
              <w:pStyle w:val="TableParagraph"/>
              <w:spacing w:line="242" w:lineRule="auto" w:before="3"/>
              <w:ind w:left="117" w:right="7"/>
              <w:rPr>
                <w:sz w:val="21"/>
              </w:rPr>
            </w:pPr>
            <w:r>
              <w:rPr>
                <w:sz w:val="21"/>
              </w:rPr>
              <w:t>统一核算，结合能源使用总成本，给出最优化能源使用方案。</w:t>
            </w:r>
          </w:p>
        </w:tc>
        <w:tc>
          <w:tcPr>
            <w:tcW w:w="994" w:type="dxa"/>
            <w:tcBorders>
              <w:left w:val="single" w:sz="4" w:space="0" w:color="000000"/>
              <w:right w:val="single" w:sz="4" w:space="0" w:color="000000"/>
            </w:tcBorders>
          </w:tcPr>
          <w:p>
            <w:pPr>
              <w:pStyle w:val="TableParagraph"/>
              <w:rPr>
                <w:rFonts w:ascii="Times New Roman"/>
                <w:sz w:val="20"/>
              </w:rPr>
            </w:pPr>
          </w:p>
        </w:tc>
        <w:tc>
          <w:tcPr>
            <w:tcW w:w="1167" w:type="dxa"/>
            <w:tcBorders>
              <w:left w:val="single" w:sz="4" w:space="0" w:color="000000"/>
            </w:tcBorders>
          </w:tcPr>
          <w:p>
            <w:pPr>
              <w:pStyle w:val="TableParagraph"/>
              <w:rPr>
                <w:rFonts w:ascii="Times New Roman"/>
                <w:sz w:val="20"/>
              </w:rPr>
            </w:pPr>
          </w:p>
        </w:tc>
      </w:tr>
      <w:tr>
        <w:trPr>
          <w:trHeight w:val="267" w:hRule="atLeast"/>
        </w:trPr>
        <w:tc>
          <w:tcPr>
            <w:tcW w:w="636" w:type="dxa"/>
            <w:tcBorders>
              <w:bottom w:val="nil"/>
              <w:right w:val="single" w:sz="4" w:space="0" w:color="000000"/>
            </w:tcBorders>
          </w:tcPr>
          <w:p>
            <w:pPr>
              <w:pStyle w:val="TableParagraph"/>
              <w:rPr>
                <w:rFonts w:ascii="Times New Roman"/>
                <w:sz w:val="18"/>
              </w:rPr>
            </w:pPr>
          </w:p>
        </w:tc>
        <w:tc>
          <w:tcPr>
            <w:tcW w:w="775" w:type="dxa"/>
            <w:tcBorders>
              <w:left w:val="single" w:sz="4" w:space="0" w:color="000000"/>
              <w:bottom w:val="nil"/>
              <w:right w:val="single" w:sz="4" w:space="0" w:color="000000"/>
            </w:tcBorders>
          </w:tcPr>
          <w:p>
            <w:pPr>
              <w:pStyle w:val="TableParagraph"/>
              <w:rPr>
                <w:rFonts w:ascii="Times New Roman"/>
                <w:sz w:val="18"/>
              </w:rPr>
            </w:pPr>
          </w:p>
        </w:tc>
        <w:tc>
          <w:tcPr>
            <w:tcW w:w="1723" w:type="dxa"/>
            <w:tcBorders>
              <w:left w:val="single" w:sz="4" w:space="0" w:color="000000"/>
              <w:bottom w:val="nil"/>
              <w:right w:val="single" w:sz="4" w:space="0" w:color="000000"/>
            </w:tcBorders>
          </w:tcPr>
          <w:p>
            <w:pPr>
              <w:pStyle w:val="TableParagraph"/>
              <w:rPr>
                <w:rFonts w:ascii="Times New Roman"/>
                <w:sz w:val="18"/>
              </w:rPr>
            </w:pPr>
          </w:p>
        </w:tc>
        <w:tc>
          <w:tcPr>
            <w:tcW w:w="5064" w:type="dxa"/>
            <w:tcBorders>
              <w:left w:val="single" w:sz="4" w:space="0" w:color="000000"/>
              <w:bottom w:val="nil"/>
              <w:right w:val="single" w:sz="4" w:space="0" w:color="000000"/>
            </w:tcBorders>
          </w:tcPr>
          <w:p>
            <w:pPr>
              <w:pStyle w:val="TableParagraph"/>
              <w:spacing w:line="245" w:lineRule="exact" w:before="3"/>
              <w:ind w:left="117"/>
              <w:rPr>
                <w:sz w:val="21"/>
              </w:rPr>
            </w:pPr>
            <w:r>
              <w:rPr>
                <w:sz w:val="21"/>
              </w:rPr>
              <w:t>面向生产制造企业，在传统采购管理的基础上，延伸</w:t>
            </w:r>
          </w:p>
        </w:tc>
        <w:tc>
          <w:tcPr>
            <w:tcW w:w="3708" w:type="dxa"/>
            <w:vMerge w:val="restart"/>
            <w:tcBorders>
              <w:left w:val="single" w:sz="4" w:space="0" w:color="000000"/>
              <w:bottom w:val="single" w:sz="4" w:space="0" w:color="000000"/>
              <w:right w:val="single" w:sz="4" w:space="0" w:color="000000"/>
            </w:tcBorders>
          </w:tcPr>
          <w:p>
            <w:pPr>
              <w:pStyle w:val="TableParagraph"/>
              <w:spacing w:line="242" w:lineRule="auto" w:before="137"/>
              <w:ind w:left="117" w:right="2"/>
              <w:rPr>
                <w:sz w:val="21"/>
              </w:rPr>
            </w:pPr>
            <w:r>
              <w:rPr>
                <w:spacing w:val="-11"/>
                <w:sz w:val="21"/>
              </w:rPr>
              <w:t>供应商管理、潜在供应商管理、采购订</w:t>
            </w:r>
            <w:r>
              <w:rPr>
                <w:spacing w:val="6"/>
                <w:sz w:val="21"/>
              </w:rPr>
              <w:t>单自动发放与在线跟进、采购变更协</w:t>
            </w:r>
            <w:r>
              <w:rPr>
                <w:spacing w:val="-11"/>
                <w:sz w:val="21"/>
              </w:rPr>
              <w:t>同、供货计划协同、物流交货协同、质</w:t>
            </w:r>
            <w:r>
              <w:rPr>
                <w:spacing w:val="-3"/>
                <w:sz w:val="21"/>
              </w:rPr>
              <w:t>量信息协同、供应商对账与发票管理、</w:t>
            </w:r>
            <w:r>
              <w:rPr>
                <w:spacing w:val="-11"/>
                <w:sz w:val="21"/>
              </w:rPr>
              <w:t>询价招标、竞价平台、供应链实时数据</w:t>
            </w:r>
            <w:r>
              <w:rPr>
                <w:spacing w:val="-12"/>
                <w:sz w:val="21"/>
              </w:rPr>
              <w:t>分析，以及供应链金融、供应链大数据</w:t>
            </w:r>
            <w:r>
              <w:rPr>
                <w:spacing w:val="-6"/>
                <w:sz w:val="21"/>
              </w:rPr>
              <w:t>等创新增值服务。</w:t>
            </w:r>
          </w:p>
        </w:tc>
        <w:tc>
          <w:tcPr>
            <w:tcW w:w="994" w:type="dxa"/>
            <w:tcBorders>
              <w:left w:val="single" w:sz="4" w:space="0" w:color="000000"/>
              <w:bottom w:val="nil"/>
              <w:right w:val="single" w:sz="4" w:space="0" w:color="000000"/>
            </w:tcBorders>
          </w:tcPr>
          <w:p>
            <w:pPr>
              <w:pStyle w:val="TableParagraph"/>
              <w:rPr>
                <w:rFonts w:ascii="Times New Roman"/>
                <w:sz w:val="18"/>
              </w:rPr>
            </w:pPr>
          </w:p>
        </w:tc>
        <w:tc>
          <w:tcPr>
            <w:tcW w:w="1167" w:type="dxa"/>
            <w:vMerge w:val="restart"/>
            <w:tcBorders>
              <w:left w:val="single" w:sz="4" w:space="0" w:color="000000"/>
              <w:bottom w:val="single" w:sz="4" w:space="0" w:color="000000"/>
            </w:tcBorders>
          </w:tcPr>
          <w:p>
            <w:pPr>
              <w:pStyle w:val="TableParagraph"/>
              <w:rPr>
                <w:rFonts w:ascii="Times New Roman"/>
                <w:sz w:val="20"/>
              </w:rPr>
            </w:pPr>
          </w:p>
        </w:tc>
      </w:tr>
      <w:tr>
        <w:trPr>
          <w:trHeight w:val="262" w:hRule="atLeast"/>
        </w:trPr>
        <w:tc>
          <w:tcPr>
            <w:tcW w:w="636" w:type="dxa"/>
            <w:tcBorders>
              <w:top w:val="nil"/>
              <w:bottom w:val="nil"/>
              <w:right w:val="single" w:sz="4" w:space="0" w:color="000000"/>
            </w:tcBorders>
          </w:tcPr>
          <w:p>
            <w:pPr>
              <w:pStyle w:val="TableParagraph"/>
              <w:rPr>
                <w:rFonts w:ascii="Times New Roman"/>
                <w:sz w:val="18"/>
              </w:rPr>
            </w:pPr>
          </w:p>
        </w:tc>
        <w:tc>
          <w:tcPr>
            <w:tcW w:w="775" w:type="dxa"/>
            <w:tcBorders>
              <w:top w:val="nil"/>
              <w:left w:val="single" w:sz="4" w:space="0" w:color="000000"/>
              <w:bottom w:val="nil"/>
              <w:right w:val="single" w:sz="4" w:space="0" w:color="000000"/>
            </w:tcBorders>
          </w:tcPr>
          <w:p>
            <w:pPr>
              <w:pStyle w:val="TableParagraph"/>
              <w:rPr>
                <w:rFonts w:ascii="Times New Roman"/>
                <w:sz w:val="18"/>
              </w:rPr>
            </w:pPr>
          </w:p>
        </w:tc>
        <w:tc>
          <w:tcPr>
            <w:tcW w:w="1723" w:type="dxa"/>
            <w:tcBorders>
              <w:top w:val="nil"/>
              <w:left w:val="single" w:sz="4" w:space="0" w:color="000000"/>
              <w:bottom w:val="nil"/>
              <w:right w:val="single" w:sz="4" w:space="0" w:color="000000"/>
            </w:tcBorders>
          </w:tcPr>
          <w:p>
            <w:pPr>
              <w:pStyle w:val="TableParagraph"/>
              <w:rPr>
                <w:rFonts w:ascii="Times New Roman"/>
                <w:sz w:val="18"/>
              </w:rPr>
            </w:pPr>
          </w:p>
        </w:tc>
        <w:tc>
          <w:tcPr>
            <w:tcW w:w="5064" w:type="dxa"/>
            <w:tcBorders>
              <w:top w:val="nil"/>
              <w:left w:val="single" w:sz="4" w:space="0" w:color="000000"/>
              <w:bottom w:val="nil"/>
              <w:right w:val="single" w:sz="4" w:space="0" w:color="000000"/>
            </w:tcBorders>
          </w:tcPr>
          <w:p>
            <w:pPr>
              <w:pStyle w:val="TableParagraph"/>
              <w:spacing w:line="242" w:lineRule="exact"/>
              <w:ind w:left="117"/>
              <w:rPr>
                <w:sz w:val="21"/>
              </w:rPr>
            </w:pPr>
            <w:r>
              <w:rPr>
                <w:sz w:val="21"/>
              </w:rPr>
              <w:t>到完整的供应链协同，提升供应商管理效率、降低供</w:t>
            </w:r>
          </w:p>
        </w:tc>
        <w:tc>
          <w:tcPr>
            <w:tcW w:w="3708" w:type="dxa"/>
            <w:vMerge/>
            <w:tcBorders>
              <w:top w:val="nil"/>
              <w:left w:val="single" w:sz="4" w:space="0" w:color="000000"/>
              <w:bottom w:val="single" w:sz="4" w:space="0" w:color="000000"/>
              <w:right w:val="single" w:sz="4" w:space="0" w:color="000000"/>
            </w:tcBorders>
          </w:tcPr>
          <w:p>
            <w:pPr>
              <w:rPr>
                <w:sz w:val="2"/>
                <w:szCs w:val="2"/>
              </w:rPr>
            </w:pPr>
          </w:p>
        </w:tc>
        <w:tc>
          <w:tcPr>
            <w:tcW w:w="994" w:type="dxa"/>
            <w:tcBorders>
              <w:top w:val="nil"/>
              <w:left w:val="single" w:sz="4" w:space="0" w:color="000000"/>
              <w:bottom w:val="nil"/>
              <w:right w:val="single" w:sz="4" w:space="0" w:color="000000"/>
            </w:tcBorders>
          </w:tcPr>
          <w:p>
            <w:pPr>
              <w:pStyle w:val="TableParagraph"/>
              <w:rPr>
                <w:rFonts w:ascii="Times New Roman"/>
                <w:sz w:val="18"/>
              </w:rPr>
            </w:pPr>
          </w:p>
        </w:tc>
        <w:tc>
          <w:tcPr>
            <w:tcW w:w="1167" w:type="dxa"/>
            <w:vMerge/>
            <w:tcBorders>
              <w:top w:val="nil"/>
              <w:left w:val="single" w:sz="4" w:space="0" w:color="000000"/>
              <w:bottom w:val="single" w:sz="4" w:space="0" w:color="000000"/>
            </w:tcBorders>
          </w:tcPr>
          <w:p>
            <w:pPr>
              <w:rPr>
                <w:sz w:val="2"/>
                <w:szCs w:val="2"/>
              </w:rPr>
            </w:pPr>
          </w:p>
        </w:tc>
      </w:tr>
      <w:tr>
        <w:trPr>
          <w:trHeight w:val="262" w:hRule="atLeast"/>
        </w:trPr>
        <w:tc>
          <w:tcPr>
            <w:tcW w:w="636" w:type="dxa"/>
            <w:tcBorders>
              <w:top w:val="nil"/>
              <w:bottom w:val="nil"/>
              <w:right w:val="single" w:sz="4" w:space="0" w:color="000000"/>
            </w:tcBorders>
          </w:tcPr>
          <w:p>
            <w:pPr>
              <w:pStyle w:val="TableParagraph"/>
              <w:rPr>
                <w:rFonts w:ascii="Times New Roman"/>
                <w:sz w:val="18"/>
              </w:rPr>
            </w:pPr>
          </w:p>
        </w:tc>
        <w:tc>
          <w:tcPr>
            <w:tcW w:w="775" w:type="dxa"/>
            <w:tcBorders>
              <w:top w:val="nil"/>
              <w:left w:val="single" w:sz="4" w:space="0" w:color="000000"/>
              <w:bottom w:val="nil"/>
              <w:right w:val="single" w:sz="4" w:space="0" w:color="000000"/>
            </w:tcBorders>
          </w:tcPr>
          <w:p>
            <w:pPr>
              <w:pStyle w:val="TableParagraph"/>
              <w:rPr>
                <w:rFonts w:ascii="Times New Roman"/>
                <w:sz w:val="18"/>
              </w:rPr>
            </w:pPr>
          </w:p>
        </w:tc>
        <w:tc>
          <w:tcPr>
            <w:tcW w:w="1723" w:type="dxa"/>
            <w:tcBorders>
              <w:top w:val="nil"/>
              <w:left w:val="single" w:sz="4" w:space="0" w:color="000000"/>
              <w:bottom w:val="nil"/>
              <w:right w:val="single" w:sz="4" w:space="0" w:color="000000"/>
            </w:tcBorders>
          </w:tcPr>
          <w:p>
            <w:pPr>
              <w:pStyle w:val="TableParagraph"/>
              <w:rPr>
                <w:rFonts w:ascii="Times New Roman"/>
                <w:sz w:val="18"/>
              </w:rPr>
            </w:pPr>
          </w:p>
        </w:tc>
        <w:tc>
          <w:tcPr>
            <w:tcW w:w="5064" w:type="dxa"/>
            <w:tcBorders>
              <w:top w:val="nil"/>
              <w:left w:val="single" w:sz="4" w:space="0" w:color="000000"/>
              <w:bottom w:val="nil"/>
              <w:right w:val="single" w:sz="4" w:space="0" w:color="000000"/>
            </w:tcBorders>
          </w:tcPr>
          <w:p>
            <w:pPr>
              <w:pStyle w:val="TableParagraph"/>
              <w:spacing w:line="242" w:lineRule="exact"/>
              <w:ind w:left="117"/>
              <w:rPr>
                <w:sz w:val="21"/>
              </w:rPr>
            </w:pPr>
            <w:r>
              <w:rPr>
                <w:sz w:val="21"/>
              </w:rPr>
              <w:t>应商管理成本、提高供应链协作效率。包括：让企业</w:t>
            </w:r>
          </w:p>
        </w:tc>
        <w:tc>
          <w:tcPr>
            <w:tcW w:w="3708" w:type="dxa"/>
            <w:vMerge/>
            <w:tcBorders>
              <w:top w:val="nil"/>
              <w:left w:val="single" w:sz="4" w:space="0" w:color="000000"/>
              <w:bottom w:val="single" w:sz="4" w:space="0" w:color="000000"/>
              <w:right w:val="single" w:sz="4" w:space="0" w:color="000000"/>
            </w:tcBorders>
          </w:tcPr>
          <w:p>
            <w:pPr>
              <w:rPr>
                <w:sz w:val="2"/>
                <w:szCs w:val="2"/>
              </w:rPr>
            </w:pPr>
          </w:p>
        </w:tc>
        <w:tc>
          <w:tcPr>
            <w:tcW w:w="994" w:type="dxa"/>
            <w:tcBorders>
              <w:top w:val="nil"/>
              <w:left w:val="single" w:sz="4" w:space="0" w:color="000000"/>
              <w:bottom w:val="nil"/>
              <w:right w:val="single" w:sz="4" w:space="0" w:color="000000"/>
            </w:tcBorders>
          </w:tcPr>
          <w:p>
            <w:pPr>
              <w:pStyle w:val="TableParagraph"/>
              <w:rPr>
                <w:rFonts w:ascii="Times New Roman"/>
                <w:sz w:val="18"/>
              </w:rPr>
            </w:pPr>
          </w:p>
        </w:tc>
        <w:tc>
          <w:tcPr>
            <w:tcW w:w="1167" w:type="dxa"/>
            <w:vMerge/>
            <w:tcBorders>
              <w:top w:val="nil"/>
              <w:left w:val="single" w:sz="4" w:space="0" w:color="000000"/>
              <w:bottom w:val="single" w:sz="4" w:space="0" w:color="000000"/>
            </w:tcBorders>
          </w:tcPr>
          <w:p>
            <w:pPr>
              <w:rPr>
                <w:sz w:val="2"/>
                <w:szCs w:val="2"/>
              </w:rPr>
            </w:pPr>
          </w:p>
        </w:tc>
      </w:tr>
      <w:tr>
        <w:trPr>
          <w:trHeight w:val="534" w:hRule="atLeast"/>
        </w:trPr>
        <w:tc>
          <w:tcPr>
            <w:tcW w:w="636" w:type="dxa"/>
            <w:tcBorders>
              <w:top w:val="nil"/>
              <w:bottom w:val="nil"/>
              <w:right w:val="single" w:sz="4" w:space="0" w:color="000000"/>
            </w:tcBorders>
          </w:tcPr>
          <w:p>
            <w:pPr>
              <w:pStyle w:val="TableParagraph"/>
              <w:spacing w:before="140"/>
              <w:ind w:left="107"/>
              <w:rPr>
                <w:rFonts w:ascii="Times New Roman"/>
                <w:sz w:val="21"/>
              </w:rPr>
            </w:pPr>
            <w:r>
              <w:rPr>
                <w:rFonts w:ascii="Times New Roman"/>
                <w:sz w:val="21"/>
              </w:rPr>
              <w:t>17</w:t>
            </w:r>
          </w:p>
        </w:tc>
        <w:tc>
          <w:tcPr>
            <w:tcW w:w="775" w:type="dxa"/>
            <w:tcBorders>
              <w:top w:val="nil"/>
              <w:left w:val="single" w:sz="4" w:space="0" w:color="000000"/>
              <w:bottom w:val="nil"/>
              <w:right w:val="single" w:sz="4" w:space="0" w:color="000000"/>
            </w:tcBorders>
          </w:tcPr>
          <w:p>
            <w:pPr>
              <w:pStyle w:val="TableParagraph"/>
              <w:rPr>
                <w:rFonts w:ascii="Times New Roman"/>
                <w:sz w:val="20"/>
              </w:rPr>
            </w:pPr>
          </w:p>
        </w:tc>
        <w:tc>
          <w:tcPr>
            <w:tcW w:w="1723" w:type="dxa"/>
            <w:tcBorders>
              <w:top w:val="nil"/>
              <w:left w:val="single" w:sz="4" w:space="0" w:color="000000"/>
              <w:bottom w:val="nil"/>
              <w:right w:val="single" w:sz="4" w:space="0" w:color="000000"/>
            </w:tcBorders>
          </w:tcPr>
          <w:p>
            <w:pPr>
              <w:pStyle w:val="TableParagraph"/>
              <w:spacing w:before="133"/>
              <w:ind w:left="221" w:right="190"/>
              <w:jc w:val="center"/>
              <w:rPr>
                <w:sz w:val="21"/>
              </w:rPr>
            </w:pPr>
            <w:r>
              <w:rPr>
                <w:sz w:val="21"/>
              </w:rPr>
              <w:t>供应链协同</w:t>
            </w:r>
          </w:p>
        </w:tc>
        <w:tc>
          <w:tcPr>
            <w:tcW w:w="5064" w:type="dxa"/>
            <w:tcBorders>
              <w:top w:val="nil"/>
              <w:left w:val="single" w:sz="4" w:space="0" w:color="000000"/>
              <w:bottom w:val="nil"/>
              <w:right w:val="single" w:sz="4" w:space="0" w:color="000000"/>
            </w:tcBorders>
          </w:tcPr>
          <w:p>
            <w:pPr>
              <w:pStyle w:val="TableParagraph"/>
              <w:spacing w:line="266" w:lineRule="exact"/>
              <w:ind w:left="117"/>
              <w:rPr>
                <w:sz w:val="21"/>
              </w:rPr>
            </w:pPr>
            <w:r>
              <w:rPr>
                <w:spacing w:val="-3"/>
                <w:sz w:val="21"/>
              </w:rPr>
              <w:t>与供应商间订单信息、物流信息、财务对账信息同步</w:t>
            </w:r>
          </w:p>
          <w:p>
            <w:pPr>
              <w:pStyle w:val="TableParagraph"/>
              <w:spacing w:line="245" w:lineRule="exact" w:before="4"/>
              <w:ind w:left="117"/>
              <w:rPr>
                <w:sz w:val="21"/>
              </w:rPr>
            </w:pPr>
            <w:r>
              <w:rPr>
                <w:spacing w:val="-3"/>
                <w:sz w:val="21"/>
              </w:rPr>
              <w:t>在线协同、实时跟进，异常提前预警，自动计算供应</w:t>
            </w:r>
          </w:p>
        </w:tc>
        <w:tc>
          <w:tcPr>
            <w:tcW w:w="3708" w:type="dxa"/>
            <w:vMerge/>
            <w:tcBorders>
              <w:top w:val="nil"/>
              <w:left w:val="single" w:sz="4" w:space="0" w:color="000000"/>
              <w:bottom w:val="single" w:sz="4" w:space="0" w:color="000000"/>
              <w:right w:val="single" w:sz="4" w:space="0" w:color="000000"/>
            </w:tcBorders>
          </w:tcPr>
          <w:p>
            <w:pPr>
              <w:rPr>
                <w:sz w:val="2"/>
                <w:szCs w:val="2"/>
              </w:rPr>
            </w:pPr>
          </w:p>
        </w:tc>
        <w:tc>
          <w:tcPr>
            <w:tcW w:w="994" w:type="dxa"/>
            <w:tcBorders>
              <w:top w:val="nil"/>
              <w:left w:val="single" w:sz="4" w:space="0" w:color="000000"/>
              <w:bottom w:val="nil"/>
              <w:right w:val="single" w:sz="4" w:space="0" w:color="000000"/>
            </w:tcBorders>
          </w:tcPr>
          <w:p>
            <w:pPr>
              <w:pStyle w:val="TableParagraph"/>
              <w:spacing w:before="133"/>
              <w:ind w:left="117"/>
              <w:rPr>
                <w:sz w:val="21"/>
              </w:rPr>
            </w:pPr>
            <w:r>
              <w:rPr>
                <w:rFonts w:ascii="Times New Roman" w:eastAsia="Times New Roman"/>
                <w:sz w:val="21"/>
              </w:rPr>
              <w:t>3 </w:t>
            </w:r>
            <w:r>
              <w:rPr>
                <w:sz w:val="21"/>
              </w:rPr>
              <w:t>万元</w:t>
            </w:r>
          </w:p>
        </w:tc>
        <w:tc>
          <w:tcPr>
            <w:tcW w:w="1167" w:type="dxa"/>
            <w:vMerge/>
            <w:tcBorders>
              <w:top w:val="nil"/>
              <w:left w:val="single" w:sz="4" w:space="0" w:color="000000"/>
              <w:bottom w:val="single" w:sz="4" w:space="0" w:color="000000"/>
            </w:tcBorders>
          </w:tcPr>
          <w:p>
            <w:pPr>
              <w:rPr>
                <w:sz w:val="2"/>
                <w:szCs w:val="2"/>
              </w:rPr>
            </w:pPr>
          </w:p>
        </w:tc>
      </w:tr>
      <w:tr>
        <w:trPr>
          <w:trHeight w:val="261" w:hRule="atLeast"/>
        </w:trPr>
        <w:tc>
          <w:tcPr>
            <w:tcW w:w="636" w:type="dxa"/>
            <w:tcBorders>
              <w:top w:val="nil"/>
              <w:bottom w:val="nil"/>
              <w:right w:val="single" w:sz="4" w:space="0" w:color="000000"/>
            </w:tcBorders>
          </w:tcPr>
          <w:p>
            <w:pPr>
              <w:pStyle w:val="TableParagraph"/>
              <w:rPr>
                <w:rFonts w:ascii="Times New Roman"/>
                <w:sz w:val="18"/>
              </w:rPr>
            </w:pPr>
          </w:p>
        </w:tc>
        <w:tc>
          <w:tcPr>
            <w:tcW w:w="775" w:type="dxa"/>
            <w:tcBorders>
              <w:top w:val="nil"/>
              <w:left w:val="single" w:sz="4" w:space="0" w:color="000000"/>
              <w:bottom w:val="nil"/>
              <w:right w:val="single" w:sz="4" w:space="0" w:color="000000"/>
            </w:tcBorders>
          </w:tcPr>
          <w:p>
            <w:pPr>
              <w:pStyle w:val="TableParagraph"/>
              <w:rPr>
                <w:rFonts w:ascii="Times New Roman"/>
                <w:sz w:val="18"/>
              </w:rPr>
            </w:pPr>
          </w:p>
        </w:tc>
        <w:tc>
          <w:tcPr>
            <w:tcW w:w="1723" w:type="dxa"/>
            <w:tcBorders>
              <w:top w:val="nil"/>
              <w:left w:val="single" w:sz="4" w:space="0" w:color="000000"/>
              <w:bottom w:val="nil"/>
              <w:right w:val="single" w:sz="4" w:space="0" w:color="000000"/>
            </w:tcBorders>
          </w:tcPr>
          <w:p>
            <w:pPr>
              <w:pStyle w:val="TableParagraph"/>
              <w:rPr>
                <w:rFonts w:ascii="Times New Roman"/>
                <w:sz w:val="18"/>
              </w:rPr>
            </w:pPr>
          </w:p>
        </w:tc>
        <w:tc>
          <w:tcPr>
            <w:tcW w:w="5064" w:type="dxa"/>
            <w:tcBorders>
              <w:top w:val="nil"/>
              <w:left w:val="single" w:sz="4" w:space="0" w:color="000000"/>
              <w:bottom w:val="nil"/>
              <w:right w:val="single" w:sz="4" w:space="0" w:color="000000"/>
            </w:tcBorders>
          </w:tcPr>
          <w:p>
            <w:pPr>
              <w:pStyle w:val="TableParagraph"/>
              <w:spacing w:line="241" w:lineRule="exact"/>
              <w:ind w:left="117"/>
              <w:rPr>
                <w:sz w:val="21"/>
              </w:rPr>
            </w:pPr>
            <w:r>
              <w:rPr>
                <w:sz w:val="21"/>
              </w:rPr>
              <w:t>商绩效，帮助采购企业精准优化供应商能力，让采购</w:t>
            </w:r>
          </w:p>
        </w:tc>
        <w:tc>
          <w:tcPr>
            <w:tcW w:w="3708" w:type="dxa"/>
            <w:vMerge/>
            <w:tcBorders>
              <w:top w:val="nil"/>
              <w:left w:val="single" w:sz="4" w:space="0" w:color="000000"/>
              <w:bottom w:val="single" w:sz="4" w:space="0" w:color="000000"/>
              <w:right w:val="single" w:sz="4" w:space="0" w:color="000000"/>
            </w:tcBorders>
          </w:tcPr>
          <w:p>
            <w:pPr>
              <w:rPr>
                <w:sz w:val="2"/>
                <w:szCs w:val="2"/>
              </w:rPr>
            </w:pPr>
          </w:p>
        </w:tc>
        <w:tc>
          <w:tcPr>
            <w:tcW w:w="994" w:type="dxa"/>
            <w:tcBorders>
              <w:top w:val="nil"/>
              <w:left w:val="single" w:sz="4" w:space="0" w:color="000000"/>
              <w:bottom w:val="nil"/>
              <w:right w:val="single" w:sz="4" w:space="0" w:color="000000"/>
            </w:tcBorders>
          </w:tcPr>
          <w:p>
            <w:pPr>
              <w:pStyle w:val="TableParagraph"/>
              <w:rPr>
                <w:rFonts w:ascii="Times New Roman"/>
                <w:sz w:val="18"/>
              </w:rPr>
            </w:pPr>
          </w:p>
        </w:tc>
        <w:tc>
          <w:tcPr>
            <w:tcW w:w="1167" w:type="dxa"/>
            <w:vMerge/>
            <w:tcBorders>
              <w:top w:val="nil"/>
              <w:left w:val="single" w:sz="4" w:space="0" w:color="000000"/>
              <w:bottom w:val="single" w:sz="4" w:space="0" w:color="000000"/>
            </w:tcBorders>
          </w:tcPr>
          <w:p>
            <w:pPr>
              <w:rPr>
                <w:sz w:val="2"/>
                <w:szCs w:val="2"/>
              </w:rPr>
            </w:pPr>
          </w:p>
        </w:tc>
      </w:tr>
      <w:tr>
        <w:trPr>
          <w:trHeight w:val="262" w:hRule="atLeast"/>
        </w:trPr>
        <w:tc>
          <w:tcPr>
            <w:tcW w:w="636" w:type="dxa"/>
            <w:tcBorders>
              <w:top w:val="nil"/>
              <w:bottom w:val="nil"/>
              <w:right w:val="single" w:sz="4" w:space="0" w:color="000000"/>
            </w:tcBorders>
          </w:tcPr>
          <w:p>
            <w:pPr>
              <w:pStyle w:val="TableParagraph"/>
              <w:rPr>
                <w:rFonts w:ascii="Times New Roman"/>
                <w:sz w:val="18"/>
              </w:rPr>
            </w:pPr>
          </w:p>
        </w:tc>
        <w:tc>
          <w:tcPr>
            <w:tcW w:w="775" w:type="dxa"/>
            <w:tcBorders>
              <w:top w:val="nil"/>
              <w:left w:val="single" w:sz="4" w:space="0" w:color="000000"/>
              <w:bottom w:val="nil"/>
              <w:right w:val="single" w:sz="4" w:space="0" w:color="000000"/>
            </w:tcBorders>
          </w:tcPr>
          <w:p>
            <w:pPr>
              <w:pStyle w:val="TableParagraph"/>
              <w:rPr>
                <w:rFonts w:ascii="Times New Roman"/>
                <w:sz w:val="18"/>
              </w:rPr>
            </w:pPr>
          </w:p>
        </w:tc>
        <w:tc>
          <w:tcPr>
            <w:tcW w:w="1723" w:type="dxa"/>
            <w:tcBorders>
              <w:top w:val="nil"/>
              <w:left w:val="single" w:sz="4" w:space="0" w:color="000000"/>
              <w:bottom w:val="nil"/>
              <w:right w:val="single" w:sz="4" w:space="0" w:color="000000"/>
            </w:tcBorders>
          </w:tcPr>
          <w:p>
            <w:pPr>
              <w:pStyle w:val="TableParagraph"/>
              <w:rPr>
                <w:rFonts w:ascii="Times New Roman"/>
                <w:sz w:val="18"/>
              </w:rPr>
            </w:pPr>
          </w:p>
        </w:tc>
        <w:tc>
          <w:tcPr>
            <w:tcW w:w="5064" w:type="dxa"/>
            <w:tcBorders>
              <w:top w:val="nil"/>
              <w:left w:val="single" w:sz="4" w:space="0" w:color="000000"/>
              <w:bottom w:val="nil"/>
              <w:right w:val="single" w:sz="4" w:space="0" w:color="000000"/>
            </w:tcBorders>
          </w:tcPr>
          <w:p>
            <w:pPr>
              <w:pStyle w:val="TableParagraph"/>
              <w:spacing w:line="242" w:lineRule="exact"/>
              <w:ind w:left="117"/>
              <w:rPr>
                <w:sz w:val="21"/>
              </w:rPr>
            </w:pPr>
            <w:r>
              <w:rPr>
                <w:sz w:val="21"/>
              </w:rPr>
              <w:t>企业实时掌握每笔物料的供应协同状况，供应商物料</w:t>
            </w:r>
          </w:p>
        </w:tc>
        <w:tc>
          <w:tcPr>
            <w:tcW w:w="3708" w:type="dxa"/>
            <w:vMerge/>
            <w:tcBorders>
              <w:top w:val="nil"/>
              <w:left w:val="single" w:sz="4" w:space="0" w:color="000000"/>
              <w:bottom w:val="single" w:sz="4" w:space="0" w:color="000000"/>
              <w:right w:val="single" w:sz="4" w:space="0" w:color="000000"/>
            </w:tcBorders>
          </w:tcPr>
          <w:p>
            <w:pPr>
              <w:rPr>
                <w:sz w:val="2"/>
                <w:szCs w:val="2"/>
              </w:rPr>
            </w:pPr>
          </w:p>
        </w:tc>
        <w:tc>
          <w:tcPr>
            <w:tcW w:w="994" w:type="dxa"/>
            <w:tcBorders>
              <w:top w:val="nil"/>
              <w:left w:val="single" w:sz="4" w:space="0" w:color="000000"/>
              <w:bottom w:val="nil"/>
              <w:right w:val="single" w:sz="4" w:space="0" w:color="000000"/>
            </w:tcBorders>
          </w:tcPr>
          <w:p>
            <w:pPr>
              <w:pStyle w:val="TableParagraph"/>
              <w:rPr>
                <w:rFonts w:ascii="Times New Roman"/>
                <w:sz w:val="18"/>
              </w:rPr>
            </w:pPr>
          </w:p>
        </w:tc>
        <w:tc>
          <w:tcPr>
            <w:tcW w:w="1167" w:type="dxa"/>
            <w:vMerge/>
            <w:tcBorders>
              <w:top w:val="nil"/>
              <w:left w:val="single" w:sz="4" w:space="0" w:color="000000"/>
              <w:bottom w:val="single" w:sz="4" w:space="0" w:color="000000"/>
            </w:tcBorders>
          </w:tcPr>
          <w:p>
            <w:pPr>
              <w:rPr>
                <w:sz w:val="2"/>
                <w:szCs w:val="2"/>
              </w:rPr>
            </w:pPr>
          </w:p>
        </w:tc>
      </w:tr>
      <w:tr>
        <w:trPr>
          <w:trHeight w:val="387" w:hRule="atLeast"/>
        </w:trPr>
        <w:tc>
          <w:tcPr>
            <w:tcW w:w="636" w:type="dxa"/>
            <w:tcBorders>
              <w:top w:val="nil"/>
              <w:bottom w:val="single" w:sz="4" w:space="0" w:color="000000"/>
              <w:right w:val="single" w:sz="4" w:space="0" w:color="000000"/>
            </w:tcBorders>
          </w:tcPr>
          <w:p>
            <w:pPr>
              <w:pStyle w:val="TableParagraph"/>
              <w:rPr>
                <w:rFonts w:ascii="Times New Roman"/>
                <w:sz w:val="20"/>
              </w:rPr>
            </w:pPr>
          </w:p>
        </w:tc>
        <w:tc>
          <w:tcPr>
            <w:tcW w:w="775" w:type="dxa"/>
            <w:tcBorders>
              <w:top w:val="nil"/>
              <w:left w:val="single" w:sz="4" w:space="0" w:color="000000"/>
              <w:bottom w:val="nil"/>
              <w:right w:val="single" w:sz="4" w:space="0" w:color="000000"/>
            </w:tcBorders>
          </w:tcPr>
          <w:p>
            <w:pPr>
              <w:pStyle w:val="TableParagraph"/>
              <w:rPr>
                <w:rFonts w:ascii="Times New Roman"/>
                <w:sz w:val="20"/>
              </w:rPr>
            </w:pPr>
          </w:p>
        </w:tc>
        <w:tc>
          <w:tcPr>
            <w:tcW w:w="1723"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5064" w:type="dxa"/>
            <w:tcBorders>
              <w:top w:val="nil"/>
              <w:left w:val="single" w:sz="4" w:space="0" w:color="000000"/>
              <w:bottom w:val="single" w:sz="4" w:space="0" w:color="000000"/>
              <w:right w:val="single" w:sz="4" w:space="0" w:color="000000"/>
            </w:tcBorders>
          </w:tcPr>
          <w:p>
            <w:pPr>
              <w:pStyle w:val="TableParagraph"/>
              <w:spacing w:line="267" w:lineRule="exact"/>
              <w:ind w:left="117"/>
              <w:rPr>
                <w:sz w:val="21"/>
              </w:rPr>
            </w:pPr>
            <w:r>
              <w:rPr>
                <w:sz w:val="21"/>
              </w:rPr>
              <w:t>配套更及时、准确。</w:t>
            </w:r>
          </w:p>
        </w:tc>
        <w:tc>
          <w:tcPr>
            <w:tcW w:w="3708" w:type="dxa"/>
            <w:vMerge/>
            <w:tcBorders>
              <w:top w:val="nil"/>
              <w:left w:val="single" w:sz="4" w:space="0" w:color="000000"/>
              <w:bottom w:val="single" w:sz="4" w:space="0" w:color="000000"/>
              <w:right w:val="single" w:sz="4" w:space="0" w:color="000000"/>
            </w:tcBorders>
          </w:tcPr>
          <w:p>
            <w:pPr>
              <w:rPr>
                <w:sz w:val="2"/>
                <w:szCs w:val="2"/>
              </w:rPr>
            </w:pPr>
          </w:p>
        </w:tc>
        <w:tc>
          <w:tcPr>
            <w:tcW w:w="99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167" w:type="dxa"/>
            <w:vMerge/>
            <w:tcBorders>
              <w:top w:val="nil"/>
              <w:left w:val="single" w:sz="4" w:space="0" w:color="000000"/>
              <w:bottom w:val="single" w:sz="4" w:space="0" w:color="000000"/>
            </w:tcBorders>
          </w:tcPr>
          <w:p>
            <w:pPr>
              <w:rPr>
                <w:sz w:val="2"/>
                <w:szCs w:val="2"/>
              </w:rPr>
            </w:pPr>
          </w:p>
        </w:tc>
      </w:tr>
      <w:tr>
        <w:trPr>
          <w:trHeight w:val="280" w:hRule="atLeast"/>
        </w:trPr>
        <w:tc>
          <w:tcPr>
            <w:tcW w:w="636" w:type="dxa"/>
            <w:tcBorders>
              <w:top w:val="single" w:sz="4" w:space="0" w:color="000000"/>
              <w:bottom w:val="nil"/>
              <w:right w:val="single" w:sz="4" w:space="0" w:color="000000"/>
            </w:tcBorders>
          </w:tcPr>
          <w:p>
            <w:pPr>
              <w:pStyle w:val="TableParagraph"/>
              <w:rPr>
                <w:rFonts w:ascii="Times New Roman"/>
                <w:sz w:val="20"/>
              </w:rPr>
            </w:pPr>
          </w:p>
        </w:tc>
        <w:tc>
          <w:tcPr>
            <w:tcW w:w="775" w:type="dxa"/>
            <w:tcBorders>
              <w:top w:val="nil"/>
              <w:left w:val="single" w:sz="4" w:space="0" w:color="000000"/>
              <w:bottom w:val="nil"/>
              <w:right w:val="single" w:sz="4" w:space="0" w:color="000000"/>
            </w:tcBorders>
          </w:tcPr>
          <w:p>
            <w:pPr>
              <w:pStyle w:val="TableParagraph"/>
              <w:spacing w:line="233" w:lineRule="exact" w:before="27"/>
              <w:ind w:left="186"/>
              <w:rPr>
                <w:sz w:val="21"/>
              </w:rPr>
            </w:pPr>
            <w:r>
              <w:rPr>
                <w:sz w:val="21"/>
              </w:rPr>
              <w:t>经营</w:t>
            </w:r>
          </w:p>
        </w:tc>
        <w:tc>
          <w:tcPr>
            <w:tcW w:w="1723"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5064" w:type="dxa"/>
            <w:tcBorders>
              <w:top w:val="single" w:sz="4" w:space="0" w:color="000000"/>
              <w:left w:val="single" w:sz="4" w:space="0" w:color="000000"/>
              <w:bottom w:val="nil"/>
              <w:right w:val="single" w:sz="4" w:space="0" w:color="000000"/>
            </w:tcBorders>
          </w:tcPr>
          <w:p>
            <w:pPr>
              <w:pStyle w:val="TableParagraph"/>
              <w:spacing w:line="257" w:lineRule="exact" w:before="3"/>
              <w:ind w:left="117"/>
              <w:rPr>
                <w:sz w:val="21"/>
              </w:rPr>
            </w:pPr>
            <w:r>
              <w:rPr>
                <w:sz w:val="21"/>
              </w:rPr>
              <w:t>面向中小工业企业的材料及成品仓库管理，通过全条</w:t>
            </w:r>
          </w:p>
        </w:tc>
        <w:tc>
          <w:tcPr>
            <w:tcW w:w="370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2" w:lineRule="auto" w:before="137"/>
              <w:ind w:left="117" w:right="-29"/>
              <w:rPr>
                <w:sz w:val="21"/>
              </w:rPr>
            </w:pPr>
            <w:r>
              <w:rPr>
                <w:spacing w:val="-11"/>
                <w:sz w:val="21"/>
              </w:rPr>
              <w:t>基础资料、入库业务、库内业务、出库</w:t>
            </w:r>
            <w:r>
              <w:rPr>
                <w:spacing w:val="-17"/>
                <w:sz w:val="21"/>
              </w:rPr>
              <w:t>业务、库位管理、条码管理、绩效管理、</w:t>
            </w:r>
            <w:r>
              <w:rPr>
                <w:spacing w:val="-13"/>
                <w:sz w:val="21"/>
              </w:rPr>
              <w:t>批次管理、报表管理、系统管理、策略</w:t>
            </w:r>
            <w:r>
              <w:rPr>
                <w:spacing w:val="-10"/>
                <w:sz w:val="21"/>
              </w:rPr>
              <w:t>管理、</w:t>
            </w:r>
            <w:r>
              <w:rPr>
                <w:rFonts w:ascii="Times New Roman" w:eastAsia="Times New Roman"/>
                <w:sz w:val="21"/>
              </w:rPr>
              <w:t>RF</w:t>
            </w:r>
            <w:r>
              <w:rPr>
                <w:rFonts w:ascii="Times New Roman" w:eastAsia="Times New Roman"/>
                <w:spacing w:val="-5"/>
                <w:sz w:val="21"/>
              </w:rPr>
              <w:t> </w:t>
            </w:r>
            <w:r>
              <w:rPr>
                <w:spacing w:val="-1"/>
                <w:sz w:val="21"/>
              </w:rPr>
              <w:t>操作端。</w:t>
            </w:r>
          </w:p>
        </w:tc>
        <w:tc>
          <w:tcPr>
            <w:tcW w:w="994"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1167"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255" w:hRule="atLeast"/>
        </w:trPr>
        <w:tc>
          <w:tcPr>
            <w:tcW w:w="636" w:type="dxa"/>
            <w:tcBorders>
              <w:top w:val="nil"/>
              <w:bottom w:val="nil"/>
              <w:right w:val="single" w:sz="4" w:space="0" w:color="000000"/>
            </w:tcBorders>
          </w:tcPr>
          <w:p>
            <w:pPr>
              <w:pStyle w:val="TableParagraph"/>
              <w:rPr>
                <w:rFonts w:ascii="Times New Roman"/>
                <w:sz w:val="18"/>
              </w:rPr>
            </w:pPr>
          </w:p>
        </w:tc>
        <w:tc>
          <w:tcPr>
            <w:tcW w:w="775" w:type="dxa"/>
            <w:tcBorders>
              <w:top w:val="nil"/>
              <w:left w:val="single" w:sz="4" w:space="0" w:color="000000"/>
              <w:bottom w:val="nil"/>
              <w:right w:val="single" w:sz="4" w:space="0" w:color="000000"/>
            </w:tcBorders>
          </w:tcPr>
          <w:p>
            <w:pPr>
              <w:pStyle w:val="TableParagraph"/>
              <w:spacing w:line="227" w:lineRule="exact" w:before="8"/>
              <w:ind w:left="186"/>
              <w:rPr>
                <w:sz w:val="21"/>
              </w:rPr>
            </w:pPr>
            <w:r>
              <w:rPr>
                <w:sz w:val="21"/>
              </w:rPr>
              <w:t>管理</w:t>
            </w:r>
          </w:p>
        </w:tc>
        <w:tc>
          <w:tcPr>
            <w:tcW w:w="1723" w:type="dxa"/>
            <w:tcBorders>
              <w:top w:val="nil"/>
              <w:left w:val="single" w:sz="4" w:space="0" w:color="000000"/>
              <w:bottom w:val="nil"/>
              <w:right w:val="single" w:sz="4" w:space="0" w:color="000000"/>
            </w:tcBorders>
          </w:tcPr>
          <w:p>
            <w:pPr>
              <w:pStyle w:val="TableParagraph"/>
              <w:rPr>
                <w:rFonts w:ascii="Times New Roman"/>
                <w:sz w:val="18"/>
              </w:rPr>
            </w:pPr>
          </w:p>
        </w:tc>
        <w:tc>
          <w:tcPr>
            <w:tcW w:w="5064" w:type="dxa"/>
            <w:tcBorders>
              <w:top w:val="nil"/>
              <w:left w:val="single" w:sz="4" w:space="0" w:color="000000"/>
              <w:bottom w:val="nil"/>
              <w:right w:val="single" w:sz="4" w:space="0" w:color="000000"/>
            </w:tcBorders>
          </w:tcPr>
          <w:p>
            <w:pPr>
              <w:pStyle w:val="TableParagraph"/>
              <w:spacing w:line="235" w:lineRule="exact"/>
              <w:ind w:left="117"/>
              <w:rPr>
                <w:sz w:val="21"/>
              </w:rPr>
            </w:pPr>
            <w:r>
              <w:rPr>
                <w:sz w:val="21"/>
              </w:rPr>
              <w:t>码化管理、精细化库位、绩效管理、策略管理等物流</w:t>
            </w:r>
          </w:p>
        </w:tc>
        <w:tc>
          <w:tcPr>
            <w:tcW w:w="3708" w:type="dxa"/>
            <w:vMerge/>
            <w:tcBorders>
              <w:top w:val="nil"/>
              <w:left w:val="single" w:sz="4" w:space="0" w:color="000000"/>
              <w:bottom w:val="single" w:sz="4" w:space="0" w:color="000000"/>
              <w:right w:val="single" w:sz="4" w:space="0" w:color="000000"/>
            </w:tcBorders>
          </w:tcPr>
          <w:p>
            <w:pPr>
              <w:rPr>
                <w:sz w:val="2"/>
                <w:szCs w:val="2"/>
              </w:rPr>
            </w:pPr>
          </w:p>
        </w:tc>
        <w:tc>
          <w:tcPr>
            <w:tcW w:w="994" w:type="dxa"/>
            <w:tcBorders>
              <w:top w:val="nil"/>
              <w:left w:val="single" w:sz="4" w:space="0" w:color="000000"/>
              <w:bottom w:val="nil"/>
              <w:right w:val="single" w:sz="4" w:space="0" w:color="000000"/>
            </w:tcBorders>
          </w:tcPr>
          <w:p>
            <w:pPr>
              <w:pStyle w:val="TableParagraph"/>
              <w:rPr>
                <w:rFonts w:ascii="Times New Roman"/>
                <w:sz w:val="18"/>
              </w:rPr>
            </w:pPr>
          </w:p>
        </w:tc>
        <w:tc>
          <w:tcPr>
            <w:tcW w:w="1167" w:type="dxa"/>
            <w:vMerge/>
            <w:tcBorders>
              <w:top w:val="nil"/>
              <w:left w:val="single" w:sz="4" w:space="0" w:color="000000"/>
              <w:bottom w:val="single" w:sz="4" w:space="0" w:color="000000"/>
            </w:tcBorders>
          </w:tcPr>
          <w:p>
            <w:pPr>
              <w:rPr>
                <w:sz w:val="2"/>
                <w:szCs w:val="2"/>
              </w:rPr>
            </w:pPr>
          </w:p>
        </w:tc>
      </w:tr>
      <w:tr>
        <w:trPr>
          <w:trHeight w:val="265" w:hRule="atLeast"/>
        </w:trPr>
        <w:tc>
          <w:tcPr>
            <w:tcW w:w="636" w:type="dxa"/>
            <w:tcBorders>
              <w:top w:val="nil"/>
              <w:bottom w:val="nil"/>
              <w:right w:val="single" w:sz="4" w:space="0" w:color="000000"/>
            </w:tcBorders>
          </w:tcPr>
          <w:p>
            <w:pPr>
              <w:pStyle w:val="TableParagraph"/>
              <w:spacing w:line="241" w:lineRule="exact"/>
              <w:ind w:left="107"/>
              <w:rPr>
                <w:rFonts w:ascii="Times New Roman"/>
                <w:sz w:val="21"/>
              </w:rPr>
            </w:pPr>
            <w:r>
              <w:rPr>
                <w:rFonts w:ascii="Times New Roman"/>
                <w:sz w:val="21"/>
              </w:rPr>
              <w:t>18</w:t>
            </w:r>
          </w:p>
        </w:tc>
        <w:tc>
          <w:tcPr>
            <w:tcW w:w="775" w:type="dxa"/>
            <w:tcBorders>
              <w:top w:val="nil"/>
              <w:left w:val="single" w:sz="4" w:space="0" w:color="000000"/>
              <w:bottom w:val="nil"/>
              <w:right w:val="single" w:sz="4" w:space="0" w:color="000000"/>
            </w:tcBorders>
          </w:tcPr>
          <w:p>
            <w:pPr>
              <w:pStyle w:val="TableParagraph"/>
              <w:rPr>
                <w:rFonts w:ascii="Times New Roman"/>
                <w:sz w:val="18"/>
              </w:rPr>
            </w:pPr>
          </w:p>
        </w:tc>
        <w:tc>
          <w:tcPr>
            <w:tcW w:w="1723" w:type="dxa"/>
            <w:tcBorders>
              <w:top w:val="nil"/>
              <w:left w:val="single" w:sz="4" w:space="0" w:color="000000"/>
              <w:bottom w:val="nil"/>
              <w:right w:val="single" w:sz="4" w:space="0" w:color="000000"/>
            </w:tcBorders>
          </w:tcPr>
          <w:p>
            <w:pPr>
              <w:pStyle w:val="TableParagraph"/>
              <w:spacing w:line="245" w:lineRule="exact"/>
              <w:ind w:left="221" w:right="190"/>
              <w:jc w:val="center"/>
              <w:rPr>
                <w:sz w:val="21"/>
              </w:rPr>
            </w:pPr>
            <w:r>
              <w:rPr>
                <w:sz w:val="21"/>
              </w:rPr>
              <w:t>仓储管理</w:t>
            </w:r>
          </w:p>
        </w:tc>
        <w:tc>
          <w:tcPr>
            <w:tcW w:w="5064" w:type="dxa"/>
            <w:tcBorders>
              <w:top w:val="nil"/>
              <w:left w:val="single" w:sz="4" w:space="0" w:color="000000"/>
              <w:bottom w:val="nil"/>
              <w:right w:val="single" w:sz="4" w:space="0" w:color="000000"/>
            </w:tcBorders>
          </w:tcPr>
          <w:p>
            <w:pPr>
              <w:pStyle w:val="TableParagraph"/>
              <w:spacing w:line="245" w:lineRule="exact"/>
              <w:ind w:left="117"/>
              <w:rPr>
                <w:sz w:val="21"/>
              </w:rPr>
            </w:pPr>
            <w:r>
              <w:rPr>
                <w:sz w:val="21"/>
              </w:rPr>
              <w:t>技术应用，解决仓储管理中的作业方式原始，过度依</w:t>
            </w:r>
          </w:p>
        </w:tc>
        <w:tc>
          <w:tcPr>
            <w:tcW w:w="3708" w:type="dxa"/>
            <w:vMerge/>
            <w:tcBorders>
              <w:top w:val="nil"/>
              <w:left w:val="single" w:sz="4" w:space="0" w:color="000000"/>
              <w:bottom w:val="single" w:sz="4" w:space="0" w:color="000000"/>
              <w:right w:val="single" w:sz="4" w:space="0" w:color="000000"/>
            </w:tcBorders>
          </w:tcPr>
          <w:p>
            <w:pPr>
              <w:rPr>
                <w:sz w:val="2"/>
                <w:szCs w:val="2"/>
              </w:rPr>
            </w:pPr>
          </w:p>
        </w:tc>
        <w:tc>
          <w:tcPr>
            <w:tcW w:w="994" w:type="dxa"/>
            <w:tcBorders>
              <w:top w:val="nil"/>
              <w:left w:val="single" w:sz="4" w:space="0" w:color="000000"/>
              <w:bottom w:val="nil"/>
              <w:right w:val="single" w:sz="4" w:space="0" w:color="000000"/>
            </w:tcBorders>
          </w:tcPr>
          <w:p>
            <w:pPr>
              <w:pStyle w:val="TableParagraph"/>
              <w:spacing w:line="245" w:lineRule="exact"/>
              <w:ind w:left="117"/>
              <w:rPr>
                <w:sz w:val="21"/>
              </w:rPr>
            </w:pPr>
            <w:r>
              <w:rPr>
                <w:rFonts w:ascii="Times New Roman" w:eastAsia="Times New Roman"/>
                <w:sz w:val="21"/>
              </w:rPr>
              <w:t>5 </w:t>
            </w:r>
            <w:r>
              <w:rPr>
                <w:sz w:val="21"/>
              </w:rPr>
              <w:t>万元</w:t>
            </w:r>
          </w:p>
        </w:tc>
        <w:tc>
          <w:tcPr>
            <w:tcW w:w="1167" w:type="dxa"/>
            <w:vMerge/>
            <w:tcBorders>
              <w:top w:val="nil"/>
              <w:left w:val="single" w:sz="4" w:space="0" w:color="000000"/>
              <w:bottom w:val="single" w:sz="4" w:space="0" w:color="000000"/>
            </w:tcBorders>
          </w:tcPr>
          <w:p>
            <w:pPr>
              <w:rPr>
                <w:sz w:val="2"/>
                <w:szCs w:val="2"/>
              </w:rPr>
            </w:pPr>
          </w:p>
        </w:tc>
      </w:tr>
      <w:tr>
        <w:trPr>
          <w:trHeight w:val="254" w:hRule="atLeast"/>
        </w:trPr>
        <w:tc>
          <w:tcPr>
            <w:tcW w:w="636" w:type="dxa"/>
            <w:tcBorders>
              <w:top w:val="nil"/>
              <w:bottom w:val="nil"/>
              <w:right w:val="single" w:sz="4" w:space="0" w:color="000000"/>
            </w:tcBorders>
          </w:tcPr>
          <w:p>
            <w:pPr>
              <w:pStyle w:val="TableParagraph"/>
              <w:rPr>
                <w:rFonts w:ascii="Times New Roman"/>
                <w:sz w:val="18"/>
              </w:rPr>
            </w:pPr>
          </w:p>
        </w:tc>
        <w:tc>
          <w:tcPr>
            <w:tcW w:w="775" w:type="dxa"/>
            <w:tcBorders>
              <w:top w:val="nil"/>
              <w:left w:val="single" w:sz="4" w:space="0" w:color="000000"/>
              <w:bottom w:val="nil"/>
              <w:right w:val="single" w:sz="4" w:space="0" w:color="000000"/>
            </w:tcBorders>
          </w:tcPr>
          <w:p>
            <w:pPr>
              <w:pStyle w:val="TableParagraph"/>
              <w:rPr>
                <w:rFonts w:ascii="Times New Roman"/>
                <w:sz w:val="18"/>
              </w:rPr>
            </w:pPr>
          </w:p>
        </w:tc>
        <w:tc>
          <w:tcPr>
            <w:tcW w:w="1723" w:type="dxa"/>
            <w:tcBorders>
              <w:top w:val="nil"/>
              <w:left w:val="single" w:sz="4" w:space="0" w:color="000000"/>
              <w:bottom w:val="nil"/>
              <w:right w:val="single" w:sz="4" w:space="0" w:color="000000"/>
            </w:tcBorders>
          </w:tcPr>
          <w:p>
            <w:pPr>
              <w:pStyle w:val="TableParagraph"/>
              <w:rPr>
                <w:rFonts w:ascii="Times New Roman"/>
                <w:sz w:val="18"/>
              </w:rPr>
            </w:pPr>
          </w:p>
        </w:tc>
        <w:tc>
          <w:tcPr>
            <w:tcW w:w="5064" w:type="dxa"/>
            <w:tcBorders>
              <w:top w:val="nil"/>
              <w:left w:val="single" w:sz="4" w:space="0" w:color="000000"/>
              <w:bottom w:val="nil"/>
              <w:right w:val="single" w:sz="4" w:space="0" w:color="000000"/>
            </w:tcBorders>
          </w:tcPr>
          <w:p>
            <w:pPr>
              <w:pStyle w:val="TableParagraph"/>
              <w:spacing w:line="234" w:lineRule="exact"/>
              <w:ind w:left="117"/>
              <w:rPr>
                <w:sz w:val="21"/>
              </w:rPr>
            </w:pPr>
            <w:r>
              <w:rPr>
                <w:sz w:val="21"/>
              </w:rPr>
              <w:t>赖人，效率低下，容易出错以及先进先出难实现、人</w:t>
            </w:r>
          </w:p>
        </w:tc>
        <w:tc>
          <w:tcPr>
            <w:tcW w:w="3708" w:type="dxa"/>
            <w:vMerge/>
            <w:tcBorders>
              <w:top w:val="nil"/>
              <w:left w:val="single" w:sz="4" w:space="0" w:color="000000"/>
              <w:bottom w:val="single" w:sz="4" w:space="0" w:color="000000"/>
              <w:right w:val="single" w:sz="4" w:space="0" w:color="000000"/>
            </w:tcBorders>
          </w:tcPr>
          <w:p>
            <w:pPr>
              <w:rPr>
                <w:sz w:val="2"/>
                <w:szCs w:val="2"/>
              </w:rPr>
            </w:pPr>
          </w:p>
        </w:tc>
        <w:tc>
          <w:tcPr>
            <w:tcW w:w="994" w:type="dxa"/>
            <w:tcBorders>
              <w:top w:val="nil"/>
              <w:left w:val="single" w:sz="4" w:space="0" w:color="000000"/>
              <w:bottom w:val="nil"/>
              <w:right w:val="single" w:sz="4" w:space="0" w:color="000000"/>
            </w:tcBorders>
          </w:tcPr>
          <w:p>
            <w:pPr>
              <w:pStyle w:val="TableParagraph"/>
              <w:rPr>
                <w:rFonts w:ascii="Times New Roman"/>
                <w:sz w:val="18"/>
              </w:rPr>
            </w:pPr>
          </w:p>
        </w:tc>
        <w:tc>
          <w:tcPr>
            <w:tcW w:w="1167" w:type="dxa"/>
            <w:vMerge/>
            <w:tcBorders>
              <w:top w:val="nil"/>
              <w:left w:val="single" w:sz="4" w:space="0" w:color="000000"/>
              <w:bottom w:val="single" w:sz="4" w:space="0" w:color="000000"/>
            </w:tcBorders>
          </w:tcPr>
          <w:p>
            <w:pPr>
              <w:rPr>
                <w:sz w:val="2"/>
                <w:szCs w:val="2"/>
              </w:rPr>
            </w:pPr>
          </w:p>
        </w:tc>
      </w:tr>
      <w:tr>
        <w:trPr>
          <w:trHeight w:val="387" w:hRule="atLeast"/>
        </w:trPr>
        <w:tc>
          <w:tcPr>
            <w:tcW w:w="636" w:type="dxa"/>
            <w:tcBorders>
              <w:top w:val="nil"/>
              <w:bottom w:val="single" w:sz="4" w:space="0" w:color="000000"/>
              <w:right w:val="single" w:sz="4" w:space="0" w:color="000000"/>
            </w:tcBorders>
          </w:tcPr>
          <w:p>
            <w:pPr>
              <w:pStyle w:val="TableParagraph"/>
              <w:rPr>
                <w:rFonts w:ascii="Times New Roman"/>
                <w:sz w:val="20"/>
              </w:rPr>
            </w:pPr>
          </w:p>
        </w:tc>
        <w:tc>
          <w:tcPr>
            <w:tcW w:w="775" w:type="dxa"/>
            <w:tcBorders>
              <w:top w:val="nil"/>
              <w:left w:val="single" w:sz="4" w:space="0" w:color="000000"/>
              <w:bottom w:val="nil"/>
              <w:right w:val="single" w:sz="4" w:space="0" w:color="000000"/>
            </w:tcBorders>
          </w:tcPr>
          <w:p>
            <w:pPr>
              <w:pStyle w:val="TableParagraph"/>
              <w:rPr>
                <w:rFonts w:ascii="Times New Roman"/>
                <w:sz w:val="20"/>
              </w:rPr>
            </w:pPr>
          </w:p>
        </w:tc>
        <w:tc>
          <w:tcPr>
            <w:tcW w:w="1723"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5064" w:type="dxa"/>
            <w:tcBorders>
              <w:top w:val="nil"/>
              <w:left w:val="single" w:sz="4" w:space="0" w:color="000000"/>
              <w:bottom w:val="single" w:sz="4" w:space="0" w:color="000000"/>
              <w:right w:val="single" w:sz="4" w:space="0" w:color="000000"/>
            </w:tcBorders>
          </w:tcPr>
          <w:p>
            <w:pPr>
              <w:pStyle w:val="TableParagraph"/>
              <w:spacing w:line="267" w:lineRule="exact"/>
              <w:ind w:left="117"/>
              <w:rPr>
                <w:sz w:val="21"/>
              </w:rPr>
            </w:pPr>
            <w:r>
              <w:rPr>
                <w:sz w:val="21"/>
              </w:rPr>
              <w:t>员难管等典型问题。</w:t>
            </w:r>
          </w:p>
        </w:tc>
        <w:tc>
          <w:tcPr>
            <w:tcW w:w="3708" w:type="dxa"/>
            <w:vMerge/>
            <w:tcBorders>
              <w:top w:val="nil"/>
              <w:left w:val="single" w:sz="4" w:space="0" w:color="000000"/>
              <w:bottom w:val="single" w:sz="4" w:space="0" w:color="000000"/>
              <w:right w:val="single" w:sz="4" w:space="0" w:color="000000"/>
            </w:tcBorders>
          </w:tcPr>
          <w:p>
            <w:pPr>
              <w:rPr>
                <w:sz w:val="2"/>
                <w:szCs w:val="2"/>
              </w:rPr>
            </w:pPr>
          </w:p>
        </w:tc>
        <w:tc>
          <w:tcPr>
            <w:tcW w:w="99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167" w:type="dxa"/>
            <w:vMerge/>
            <w:tcBorders>
              <w:top w:val="nil"/>
              <w:left w:val="single" w:sz="4" w:space="0" w:color="000000"/>
              <w:bottom w:val="single" w:sz="4" w:space="0" w:color="000000"/>
            </w:tcBorders>
          </w:tcPr>
          <w:p>
            <w:pPr>
              <w:rPr>
                <w:sz w:val="2"/>
                <w:szCs w:val="2"/>
              </w:rPr>
            </w:pPr>
          </w:p>
        </w:tc>
      </w:tr>
      <w:tr>
        <w:trPr>
          <w:trHeight w:val="427" w:hRule="atLeast"/>
        </w:trPr>
        <w:tc>
          <w:tcPr>
            <w:tcW w:w="636" w:type="dxa"/>
            <w:tcBorders>
              <w:top w:val="single" w:sz="4" w:space="0" w:color="000000"/>
              <w:bottom w:val="nil"/>
              <w:right w:val="single" w:sz="4" w:space="0" w:color="000000"/>
            </w:tcBorders>
          </w:tcPr>
          <w:p>
            <w:pPr>
              <w:pStyle w:val="TableParagraph"/>
              <w:rPr>
                <w:rFonts w:ascii="Times New Roman"/>
                <w:sz w:val="20"/>
              </w:rPr>
            </w:pPr>
          </w:p>
        </w:tc>
        <w:tc>
          <w:tcPr>
            <w:tcW w:w="775" w:type="dxa"/>
            <w:tcBorders>
              <w:top w:val="nil"/>
              <w:left w:val="single" w:sz="4" w:space="0" w:color="000000"/>
              <w:bottom w:val="nil"/>
              <w:right w:val="single" w:sz="4" w:space="0" w:color="000000"/>
            </w:tcBorders>
          </w:tcPr>
          <w:p>
            <w:pPr>
              <w:pStyle w:val="TableParagraph"/>
              <w:rPr>
                <w:rFonts w:ascii="Times New Roman"/>
                <w:sz w:val="20"/>
              </w:rPr>
            </w:pPr>
          </w:p>
        </w:tc>
        <w:tc>
          <w:tcPr>
            <w:tcW w:w="1723"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5064" w:type="dxa"/>
            <w:tcBorders>
              <w:top w:val="single" w:sz="4" w:space="0" w:color="000000"/>
              <w:left w:val="single" w:sz="4" w:space="0" w:color="000000"/>
              <w:bottom w:val="nil"/>
              <w:right w:val="single" w:sz="4" w:space="0" w:color="000000"/>
            </w:tcBorders>
          </w:tcPr>
          <w:p>
            <w:pPr>
              <w:pStyle w:val="TableParagraph"/>
              <w:spacing w:line="246" w:lineRule="exact" w:before="161"/>
              <w:ind w:left="117"/>
              <w:rPr>
                <w:sz w:val="21"/>
              </w:rPr>
            </w:pPr>
            <w:r>
              <w:rPr>
                <w:sz w:val="21"/>
              </w:rPr>
              <w:t>面向中小工业企业的资源计划管理，实现进销存、财</w:t>
            </w:r>
          </w:p>
        </w:tc>
        <w:tc>
          <w:tcPr>
            <w:tcW w:w="3708" w:type="dxa"/>
            <w:tcBorders>
              <w:top w:val="single" w:sz="4" w:space="0" w:color="000000"/>
              <w:left w:val="single" w:sz="4" w:space="0" w:color="000000"/>
              <w:bottom w:val="nil"/>
              <w:right w:val="single" w:sz="4" w:space="0" w:color="000000"/>
            </w:tcBorders>
          </w:tcPr>
          <w:p>
            <w:pPr>
              <w:pStyle w:val="TableParagraph"/>
              <w:spacing w:line="246" w:lineRule="exact" w:before="161"/>
              <w:ind w:left="117"/>
              <w:rPr>
                <w:sz w:val="21"/>
              </w:rPr>
            </w:pPr>
            <w:r>
              <w:rPr>
                <w:sz w:val="21"/>
              </w:rPr>
              <w:t>总账管理、财务报表、固定资产、出纳</w:t>
            </w:r>
          </w:p>
        </w:tc>
        <w:tc>
          <w:tcPr>
            <w:tcW w:w="994"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1167"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34" w:hRule="atLeast"/>
        </w:trPr>
        <w:tc>
          <w:tcPr>
            <w:tcW w:w="636" w:type="dxa"/>
            <w:tcBorders>
              <w:top w:val="nil"/>
              <w:bottom w:val="nil"/>
              <w:right w:val="single" w:sz="4" w:space="0" w:color="000000"/>
            </w:tcBorders>
          </w:tcPr>
          <w:p>
            <w:pPr>
              <w:pStyle w:val="TableParagraph"/>
              <w:spacing w:before="141"/>
              <w:ind w:left="107"/>
              <w:rPr>
                <w:rFonts w:ascii="Times New Roman"/>
                <w:sz w:val="21"/>
              </w:rPr>
            </w:pPr>
            <w:r>
              <w:rPr>
                <w:rFonts w:ascii="Times New Roman"/>
                <w:sz w:val="21"/>
              </w:rPr>
              <w:t>19</w:t>
            </w:r>
          </w:p>
        </w:tc>
        <w:tc>
          <w:tcPr>
            <w:tcW w:w="775" w:type="dxa"/>
            <w:tcBorders>
              <w:top w:val="nil"/>
              <w:left w:val="single" w:sz="4" w:space="0" w:color="000000"/>
              <w:bottom w:val="nil"/>
              <w:right w:val="single" w:sz="4" w:space="0" w:color="000000"/>
            </w:tcBorders>
          </w:tcPr>
          <w:p>
            <w:pPr>
              <w:pStyle w:val="TableParagraph"/>
              <w:rPr>
                <w:rFonts w:ascii="Times New Roman"/>
                <w:sz w:val="20"/>
              </w:rPr>
            </w:pPr>
          </w:p>
        </w:tc>
        <w:tc>
          <w:tcPr>
            <w:tcW w:w="1723" w:type="dxa"/>
            <w:tcBorders>
              <w:top w:val="nil"/>
              <w:left w:val="single" w:sz="4" w:space="0" w:color="000000"/>
              <w:bottom w:val="nil"/>
              <w:right w:val="single" w:sz="4" w:space="0" w:color="000000"/>
            </w:tcBorders>
          </w:tcPr>
          <w:p>
            <w:pPr>
              <w:pStyle w:val="TableParagraph"/>
              <w:spacing w:before="132"/>
              <w:ind w:left="221" w:right="191"/>
              <w:jc w:val="center"/>
              <w:rPr>
                <w:rFonts w:ascii="Times New Roman" w:eastAsia="Times New Roman"/>
                <w:sz w:val="21"/>
              </w:rPr>
            </w:pPr>
            <w:r>
              <w:rPr>
                <w:sz w:val="21"/>
              </w:rPr>
              <w:t>资源计划 </w:t>
            </w:r>
            <w:r>
              <w:rPr>
                <w:rFonts w:ascii="Times New Roman" w:eastAsia="Times New Roman"/>
                <w:sz w:val="21"/>
              </w:rPr>
              <w:t>I</w:t>
            </w:r>
          </w:p>
        </w:tc>
        <w:tc>
          <w:tcPr>
            <w:tcW w:w="5064" w:type="dxa"/>
            <w:tcBorders>
              <w:top w:val="nil"/>
              <w:left w:val="single" w:sz="4" w:space="0" w:color="000000"/>
              <w:bottom w:val="nil"/>
              <w:right w:val="single" w:sz="4" w:space="0" w:color="000000"/>
            </w:tcBorders>
          </w:tcPr>
          <w:p>
            <w:pPr>
              <w:pStyle w:val="TableParagraph"/>
              <w:spacing w:line="267" w:lineRule="exact"/>
              <w:ind w:left="117"/>
              <w:rPr>
                <w:sz w:val="21"/>
              </w:rPr>
            </w:pPr>
            <w:r>
              <w:rPr>
                <w:spacing w:val="-3"/>
                <w:sz w:val="21"/>
              </w:rPr>
              <w:t>务等企业经营管理，有效提升企业运营管理能力，主</w:t>
            </w:r>
          </w:p>
          <w:p>
            <w:pPr>
              <w:pStyle w:val="TableParagraph"/>
              <w:spacing w:line="246" w:lineRule="exact" w:before="2"/>
              <w:ind w:left="117"/>
              <w:rPr>
                <w:sz w:val="21"/>
              </w:rPr>
            </w:pPr>
            <w:r>
              <w:rPr>
                <w:spacing w:val="-3"/>
                <w:sz w:val="21"/>
              </w:rPr>
              <w:t>要目标是解决工业企业基础性资源计划管理需求，并</w:t>
            </w:r>
          </w:p>
        </w:tc>
        <w:tc>
          <w:tcPr>
            <w:tcW w:w="3708" w:type="dxa"/>
            <w:tcBorders>
              <w:top w:val="nil"/>
              <w:left w:val="single" w:sz="4" w:space="0" w:color="000000"/>
              <w:bottom w:val="nil"/>
              <w:right w:val="single" w:sz="4" w:space="0" w:color="000000"/>
            </w:tcBorders>
          </w:tcPr>
          <w:p>
            <w:pPr>
              <w:pStyle w:val="TableParagraph"/>
              <w:spacing w:line="267" w:lineRule="exact"/>
              <w:ind w:left="117"/>
              <w:rPr>
                <w:sz w:val="21"/>
              </w:rPr>
            </w:pPr>
            <w:r>
              <w:rPr>
                <w:sz w:val="21"/>
              </w:rPr>
              <w:t>管理、应收款管理、应付款管理、采购</w:t>
            </w:r>
          </w:p>
          <w:p>
            <w:pPr>
              <w:pStyle w:val="TableParagraph"/>
              <w:spacing w:line="246" w:lineRule="exact" w:before="2"/>
              <w:ind w:left="117" w:right="-29"/>
              <w:rPr>
                <w:sz w:val="21"/>
              </w:rPr>
            </w:pPr>
            <w:r>
              <w:rPr>
                <w:spacing w:val="-16"/>
                <w:sz w:val="21"/>
              </w:rPr>
              <w:t>管理、销售管理、库存管理、存货管理、</w:t>
            </w:r>
          </w:p>
        </w:tc>
        <w:tc>
          <w:tcPr>
            <w:tcW w:w="994" w:type="dxa"/>
            <w:tcBorders>
              <w:top w:val="nil"/>
              <w:left w:val="single" w:sz="4" w:space="0" w:color="000000"/>
              <w:bottom w:val="nil"/>
              <w:right w:val="single" w:sz="4" w:space="0" w:color="000000"/>
            </w:tcBorders>
          </w:tcPr>
          <w:p>
            <w:pPr>
              <w:pStyle w:val="TableParagraph"/>
              <w:spacing w:before="132"/>
              <w:ind w:left="117"/>
              <w:rPr>
                <w:sz w:val="21"/>
              </w:rPr>
            </w:pPr>
            <w:r>
              <w:rPr>
                <w:rFonts w:ascii="Times New Roman" w:eastAsia="Times New Roman"/>
                <w:sz w:val="21"/>
              </w:rPr>
              <w:t>3 </w:t>
            </w:r>
            <w:r>
              <w:rPr>
                <w:sz w:val="21"/>
              </w:rPr>
              <w:t>万元</w:t>
            </w:r>
          </w:p>
        </w:tc>
        <w:tc>
          <w:tcPr>
            <w:tcW w:w="1167" w:type="dxa"/>
            <w:vMerge/>
            <w:tcBorders>
              <w:top w:val="nil"/>
              <w:left w:val="single" w:sz="4" w:space="0" w:color="000000"/>
              <w:bottom w:val="single" w:sz="4" w:space="0" w:color="000000"/>
            </w:tcBorders>
          </w:tcPr>
          <w:p>
            <w:pPr>
              <w:rPr>
                <w:sz w:val="2"/>
                <w:szCs w:val="2"/>
              </w:rPr>
            </w:pPr>
          </w:p>
        </w:tc>
      </w:tr>
      <w:tr>
        <w:trPr>
          <w:trHeight w:val="548" w:hRule="atLeast"/>
        </w:trPr>
        <w:tc>
          <w:tcPr>
            <w:tcW w:w="636" w:type="dxa"/>
            <w:tcBorders>
              <w:top w:val="nil"/>
              <w:bottom w:val="single" w:sz="4" w:space="0" w:color="000000"/>
              <w:right w:val="single" w:sz="4" w:space="0" w:color="000000"/>
            </w:tcBorders>
          </w:tcPr>
          <w:p>
            <w:pPr>
              <w:pStyle w:val="TableParagraph"/>
              <w:rPr>
                <w:rFonts w:ascii="Times New Roman"/>
                <w:sz w:val="20"/>
              </w:rPr>
            </w:pPr>
          </w:p>
        </w:tc>
        <w:tc>
          <w:tcPr>
            <w:tcW w:w="775"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723"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5064" w:type="dxa"/>
            <w:tcBorders>
              <w:top w:val="nil"/>
              <w:left w:val="single" w:sz="4" w:space="0" w:color="000000"/>
              <w:bottom w:val="single" w:sz="4" w:space="0" w:color="000000"/>
              <w:right w:val="single" w:sz="4" w:space="0" w:color="000000"/>
            </w:tcBorders>
          </w:tcPr>
          <w:p>
            <w:pPr>
              <w:pStyle w:val="TableParagraph"/>
              <w:spacing w:line="267" w:lineRule="exact"/>
              <w:ind w:left="117"/>
              <w:rPr>
                <w:sz w:val="21"/>
              </w:rPr>
            </w:pPr>
            <w:r>
              <w:rPr>
                <w:sz w:val="21"/>
              </w:rPr>
              <w:t>能够为第三方信息系统提供开放数据接口。</w:t>
            </w:r>
          </w:p>
        </w:tc>
        <w:tc>
          <w:tcPr>
            <w:tcW w:w="3708" w:type="dxa"/>
            <w:tcBorders>
              <w:top w:val="nil"/>
              <w:left w:val="single" w:sz="4" w:space="0" w:color="000000"/>
              <w:bottom w:val="single" w:sz="4" w:space="0" w:color="000000"/>
              <w:right w:val="single" w:sz="4" w:space="0" w:color="000000"/>
            </w:tcBorders>
          </w:tcPr>
          <w:p>
            <w:pPr>
              <w:pStyle w:val="TableParagraph"/>
              <w:spacing w:line="267" w:lineRule="exact"/>
              <w:ind w:left="117"/>
              <w:rPr>
                <w:sz w:val="21"/>
              </w:rPr>
            </w:pPr>
            <w:r>
              <w:rPr>
                <w:sz w:val="21"/>
              </w:rPr>
              <w:t>存货核算。</w:t>
            </w:r>
          </w:p>
        </w:tc>
        <w:tc>
          <w:tcPr>
            <w:tcW w:w="99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167" w:type="dxa"/>
            <w:vMerge/>
            <w:tcBorders>
              <w:top w:val="nil"/>
              <w:left w:val="single" w:sz="4" w:space="0" w:color="000000"/>
              <w:bottom w:val="single" w:sz="4" w:space="0" w:color="000000"/>
            </w:tcBorders>
          </w:tcPr>
          <w:p>
            <w:pPr>
              <w:rPr>
                <w:sz w:val="2"/>
                <w:szCs w:val="2"/>
              </w:rPr>
            </w:pPr>
          </w:p>
        </w:tc>
      </w:tr>
    </w:tbl>
    <w:p>
      <w:pPr>
        <w:spacing w:after="0"/>
        <w:rPr>
          <w:sz w:val="2"/>
          <w:szCs w:val="2"/>
        </w:rPr>
        <w:sectPr>
          <w:footerReference w:type="even" r:id="rId25"/>
          <w:footerReference w:type="default" r:id="rId26"/>
          <w:pgSz w:w="16840" w:h="11900" w:orient="landscape"/>
          <w:pgMar w:footer="1237" w:header="0" w:top="1100" w:bottom="1420" w:left="1320" w:right="1200"/>
          <w:pgNumType w:start="20"/>
        </w:sectPr>
      </w:pPr>
    </w:p>
    <w:p>
      <w:pPr>
        <w:pStyle w:val="BodyText"/>
        <w:rPr>
          <w:rFonts w:ascii="Times New Roman"/>
          <w:sz w:val="20"/>
        </w:rPr>
      </w:pPr>
    </w:p>
    <w:p>
      <w:pPr>
        <w:pStyle w:val="BodyText"/>
        <w:spacing w:before="5" w:after="1"/>
        <w:rPr>
          <w:rFonts w:ascii="Times New Roman"/>
          <w:sz w:val="22"/>
        </w:rPr>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36"/>
        <w:gridCol w:w="775"/>
        <w:gridCol w:w="1723"/>
        <w:gridCol w:w="5064"/>
        <w:gridCol w:w="3708"/>
        <w:gridCol w:w="994"/>
        <w:gridCol w:w="1167"/>
      </w:tblGrid>
      <w:tr>
        <w:trPr>
          <w:trHeight w:val="663" w:hRule="atLeast"/>
        </w:trPr>
        <w:tc>
          <w:tcPr>
            <w:tcW w:w="636" w:type="dxa"/>
            <w:tcBorders>
              <w:right w:val="single" w:sz="4" w:space="0" w:color="000000"/>
            </w:tcBorders>
          </w:tcPr>
          <w:p>
            <w:pPr>
              <w:pStyle w:val="TableParagraph"/>
              <w:spacing w:line="151" w:lineRule="auto" w:before="19"/>
              <w:ind w:left="210" w:right="192"/>
              <w:rPr>
                <w:rFonts w:ascii="思源黑体 CN Bold" w:eastAsia="思源黑体 CN Bold" w:hint="eastAsia"/>
                <w:b/>
                <w:sz w:val="21"/>
              </w:rPr>
            </w:pPr>
            <w:r>
              <w:rPr>
                <w:rFonts w:ascii="思源黑体 CN Bold" w:eastAsia="思源黑体 CN Bold" w:hint="eastAsia"/>
                <w:b/>
                <w:sz w:val="21"/>
              </w:rPr>
              <w:t>序号</w:t>
            </w:r>
          </w:p>
        </w:tc>
        <w:tc>
          <w:tcPr>
            <w:tcW w:w="775" w:type="dxa"/>
            <w:tcBorders>
              <w:left w:val="single" w:sz="4" w:space="0" w:color="000000"/>
              <w:right w:val="single" w:sz="4" w:space="0" w:color="000000"/>
            </w:tcBorders>
          </w:tcPr>
          <w:p>
            <w:pPr>
              <w:pStyle w:val="TableParagraph"/>
              <w:spacing w:line="151" w:lineRule="auto" w:before="19"/>
              <w:ind w:left="184" w:right="155"/>
              <w:rPr>
                <w:rFonts w:ascii="思源黑体 CN Bold" w:eastAsia="思源黑体 CN Bold" w:hint="eastAsia"/>
                <w:b/>
                <w:sz w:val="21"/>
              </w:rPr>
            </w:pPr>
            <w:r>
              <w:rPr>
                <w:rFonts w:ascii="思源黑体 CN Bold" w:eastAsia="思源黑体 CN Bold" w:hint="eastAsia"/>
                <w:b/>
                <w:sz w:val="21"/>
              </w:rPr>
              <w:t>一级目录</w:t>
            </w:r>
          </w:p>
        </w:tc>
        <w:tc>
          <w:tcPr>
            <w:tcW w:w="1723" w:type="dxa"/>
            <w:tcBorders>
              <w:left w:val="single" w:sz="4" w:space="0" w:color="000000"/>
              <w:right w:val="single" w:sz="4" w:space="0" w:color="000000"/>
            </w:tcBorders>
          </w:tcPr>
          <w:p>
            <w:pPr>
              <w:pStyle w:val="TableParagraph"/>
              <w:spacing w:before="43"/>
              <w:ind w:left="220" w:right="191"/>
              <w:jc w:val="center"/>
              <w:rPr>
                <w:rFonts w:ascii="思源黑体 CN Bold" w:eastAsia="思源黑体 CN Bold" w:hint="eastAsia"/>
                <w:b/>
                <w:sz w:val="21"/>
              </w:rPr>
            </w:pPr>
            <w:r>
              <w:rPr>
                <w:rFonts w:ascii="思源黑体 CN Bold" w:eastAsia="思源黑体 CN Bold" w:hint="eastAsia"/>
                <w:b/>
                <w:sz w:val="21"/>
              </w:rPr>
              <w:t>二级目录</w:t>
            </w:r>
          </w:p>
        </w:tc>
        <w:tc>
          <w:tcPr>
            <w:tcW w:w="5064" w:type="dxa"/>
            <w:tcBorders>
              <w:left w:val="single" w:sz="4" w:space="0" w:color="000000"/>
              <w:right w:val="single" w:sz="4" w:space="0" w:color="000000"/>
            </w:tcBorders>
          </w:tcPr>
          <w:p>
            <w:pPr>
              <w:pStyle w:val="TableParagraph"/>
              <w:spacing w:before="43"/>
              <w:ind w:left="1891" w:right="1862"/>
              <w:jc w:val="center"/>
              <w:rPr>
                <w:rFonts w:ascii="思源黑体 CN Bold" w:eastAsia="思源黑体 CN Bold" w:hint="eastAsia"/>
                <w:b/>
                <w:sz w:val="21"/>
              </w:rPr>
            </w:pPr>
            <w:r>
              <w:rPr>
                <w:rFonts w:ascii="思源黑体 CN Bold" w:eastAsia="思源黑体 CN Bold" w:hint="eastAsia"/>
                <w:b/>
                <w:sz w:val="21"/>
              </w:rPr>
              <w:t>主要应用场景</w:t>
            </w:r>
          </w:p>
        </w:tc>
        <w:tc>
          <w:tcPr>
            <w:tcW w:w="3708" w:type="dxa"/>
            <w:tcBorders>
              <w:left w:val="single" w:sz="4" w:space="0" w:color="000000"/>
              <w:right w:val="single" w:sz="4" w:space="0" w:color="000000"/>
            </w:tcBorders>
          </w:tcPr>
          <w:p>
            <w:pPr>
              <w:pStyle w:val="TableParagraph"/>
              <w:spacing w:before="43"/>
              <w:ind w:left="1231"/>
              <w:rPr>
                <w:rFonts w:ascii="思源黑体 CN Bold" w:eastAsia="思源黑体 CN Bold" w:hint="eastAsia"/>
                <w:b/>
                <w:sz w:val="21"/>
              </w:rPr>
            </w:pPr>
            <w:r>
              <w:rPr>
                <w:rFonts w:ascii="思源黑体 CN Bold" w:eastAsia="思源黑体 CN Bold" w:hint="eastAsia"/>
                <w:b/>
                <w:sz w:val="21"/>
              </w:rPr>
              <w:t>主要功能模块</w:t>
            </w:r>
          </w:p>
        </w:tc>
        <w:tc>
          <w:tcPr>
            <w:tcW w:w="994" w:type="dxa"/>
            <w:tcBorders>
              <w:left w:val="single" w:sz="4" w:space="0" w:color="000000"/>
              <w:right w:val="single" w:sz="4" w:space="0" w:color="000000"/>
            </w:tcBorders>
          </w:tcPr>
          <w:p>
            <w:pPr>
              <w:pStyle w:val="TableParagraph"/>
              <w:spacing w:line="151" w:lineRule="auto" w:before="19"/>
              <w:ind w:left="295" w:right="264"/>
              <w:rPr>
                <w:rFonts w:ascii="思源黑体 CN Bold" w:eastAsia="思源黑体 CN Bold" w:hint="eastAsia"/>
                <w:b/>
                <w:sz w:val="21"/>
              </w:rPr>
            </w:pPr>
            <w:r>
              <w:rPr>
                <w:rFonts w:ascii="思源黑体 CN Bold" w:eastAsia="思源黑体 CN Bold" w:hint="eastAsia"/>
                <w:b/>
                <w:sz w:val="21"/>
              </w:rPr>
              <w:t>奖补上限</w:t>
            </w:r>
          </w:p>
        </w:tc>
        <w:tc>
          <w:tcPr>
            <w:tcW w:w="1167" w:type="dxa"/>
            <w:tcBorders>
              <w:left w:val="single" w:sz="4" w:space="0" w:color="000000"/>
            </w:tcBorders>
          </w:tcPr>
          <w:p>
            <w:pPr>
              <w:pStyle w:val="TableParagraph"/>
              <w:spacing w:before="43"/>
              <w:ind w:left="381"/>
              <w:rPr>
                <w:rFonts w:ascii="思源黑体 CN Bold" w:eastAsia="思源黑体 CN Bold" w:hint="eastAsia"/>
                <w:b/>
                <w:sz w:val="21"/>
              </w:rPr>
            </w:pPr>
            <w:r>
              <w:rPr>
                <w:rFonts w:ascii="思源黑体 CN Bold" w:eastAsia="思源黑体 CN Bold" w:hint="eastAsia"/>
                <w:b/>
                <w:sz w:val="21"/>
              </w:rPr>
              <w:t>备注</w:t>
            </w:r>
          </w:p>
        </w:tc>
      </w:tr>
      <w:tr>
        <w:trPr>
          <w:trHeight w:val="267" w:hRule="atLeast"/>
        </w:trPr>
        <w:tc>
          <w:tcPr>
            <w:tcW w:w="636" w:type="dxa"/>
            <w:tcBorders>
              <w:bottom w:val="nil"/>
              <w:right w:val="single" w:sz="4" w:space="0" w:color="000000"/>
            </w:tcBorders>
          </w:tcPr>
          <w:p>
            <w:pPr>
              <w:pStyle w:val="TableParagraph"/>
              <w:rPr>
                <w:rFonts w:ascii="Times New Roman"/>
                <w:sz w:val="18"/>
              </w:rPr>
            </w:pPr>
          </w:p>
        </w:tc>
        <w:tc>
          <w:tcPr>
            <w:tcW w:w="775" w:type="dxa"/>
            <w:vMerge w:val="restart"/>
            <w:tcBorders>
              <w:left w:val="single" w:sz="4" w:space="0" w:color="000000"/>
              <w:bottom w:val="single" w:sz="4" w:space="0" w:color="000000"/>
              <w:right w:val="single" w:sz="4" w:space="0" w:color="000000"/>
            </w:tcBorders>
          </w:tcPr>
          <w:p>
            <w:pPr>
              <w:pStyle w:val="TableParagraph"/>
              <w:rPr>
                <w:rFonts w:ascii="Times New Roman"/>
                <w:sz w:val="20"/>
              </w:rPr>
            </w:pPr>
          </w:p>
        </w:tc>
        <w:tc>
          <w:tcPr>
            <w:tcW w:w="1723" w:type="dxa"/>
            <w:tcBorders>
              <w:left w:val="single" w:sz="4" w:space="0" w:color="000000"/>
              <w:bottom w:val="nil"/>
              <w:right w:val="single" w:sz="4" w:space="0" w:color="000000"/>
            </w:tcBorders>
          </w:tcPr>
          <w:p>
            <w:pPr>
              <w:pStyle w:val="TableParagraph"/>
              <w:rPr>
                <w:rFonts w:ascii="Times New Roman"/>
                <w:sz w:val="18"/>
              </w:rPr>
            </w:pPr>
          </w:p>
        </w:tc>
        <w:tc>
          <w:tcPr>
            <w:tcW w:w="5064" w:type="dxa"/>
            <w:tcBorders>
              <w:left w:val="single" w:sz="4" w:space="0" w:color="000000"/>
              <w:bottom w:val="nil"/>
              <w:right w:val="single" w:sz="4" w:space="0" w:color="000000"/>
            </w:tcBorders>
          </w:tcPr>
          <w:p>
            <w:pPr>
              <w:pStyle w:val="TableParagraph"/>
              <w:spacing w:line="245" w:lineRule="exact" w:before="3"/>
              <w:ind w:left="117"/>
              <w:rPr>
                <w:sz w:val="21"/>
              </w:rPr>
            </w:pPr>
            <w:r>
              <w:rPr>
                <w:sz w:val="21"/>
              </w:rPr>
              <w:t>面向库存式或订单式生产的制造企业，实现进销存、</w:t>
            </w:r>
          </w:p>
        </w:tc>
        <w:tc>
          <w:tcPr>
            <w:tcW w:w="3708" w:type="dxa"/>
            <w:tcBorders>
              <w:left w:val="single" w:sz="4" w:space="0" w:color="000000"/>
              <w:bottom w:val="nil"/>
              <w:right w:val="single" w:sz="4" w:space="0" w:color="000000"/>
            </w:tcBorders>
          </w:tcPr>
          <w:p>
            <w:pPr>
              <w:pStyle w:val="TableParagraph"/>
              <w:rPr>
                <w:rFonts w:ascii="Times New Roman"/>
                <w:sz w:val="18"/>
              </w:rPr>
            </w:pPr>
          </w:p>
        </w:tc>
        <w:tc>
          <w:tcPr>
            <w:tcW w:w="994" w:type="dxa"/>
            <w:tcBorders>
              <w:left w:val="single" w:sz="4" w:space="0" w:color="000000"/>
              <w:bottom w:val="nil"/>
              <w:right w:val="single" w:sz="4" w:space="0" w:color="000000"/>
            </w:tcBorders>
          </w:tcPr>
          <w:p>
            <w:pPr>
              <w:pStyle w:val="TableParagraph"/>
              <w:rPr>
                <w:rFonts w:ascii="Times New Roman"/>
                <w:sz w:val="18"/>
              </w:rPr>
            </w:pPr>
          </w:p>
        </w:tc>
        <w:tc>
          <w:tcPr>
            <w:tcW w:w="1167" w:type="dxa"/>
            <w:vMerge w:val="restart"/>
            <w:tcBorders>
              <w:left w:val="single" w:sz="4" w:space="0" w:color="000000"/>
              <w:bottom w:val="single" w:sz="4" w:space="0" w:color="000000"/>
            </w:tcBorders>
          </w:tcPr>
          <w:p>
            <w:pPr>
              <w:pStyle w:val="TableParagraph"/>
              <w:rPr>
                <w:rFonts w:ascii="Times New Roman"/>
                <w:sz w:val="20"/>
              </w:rPr>
            </w:pPr>
          </w:p>
        </w:tc>
      </w:tr>
      <w:tr>
        <w:trPr>
          <w:trHeight w:val="259" w:hRule="atLeast"/>
        </w:trPr>
        <w:tc>
          <w:tcPr>
            <w:tcW w:w="636" w:type="dxa"/>
            <w:tcBorders>
              <w:top w:val="nil"/>
              <w:bottom w:val="nil"/>
              <w:right w:val="single" w:sz="4" w:space="0" w:color="000000"/>
            </w:tcBorders>
          </w:tcPr>
          <w:p>
            <w:pPr>
              <w:pStyle w:val="TableParagraph"/>
              <w:rPr>
                <w:rFonts w:ascii="Times New Roman"/>
                <w:sz w:val="18"/>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18"/>
              </w:rPr>
            </w:pPr>
          </w:p>
        </w:tc>
        <w:tc>
          <w:tcPr>
            <w:tcW w:w="5064" w:type="dxa"/>
            <w:tcBorders>
              <w:top w:val="nil"/>
              <w:left w:val="single" w:sz="4" w:space="0" w:color="000000"/>
              <w:bottom w:val="nil"/>
              <w:right w:val="single" w:sz="4" w:space="0" w:color="000000"/>
            </w:tcBorders>
          </w:tcPr>
          <w:p>
            <w:pPr>
              <w:pStyle w:val="TableParagraph"/>
              <w:spacing w:line="239" w:lineRule="exact"/>
              <w:ind w:left="117"/>
              <w:rPr>
                <w:sz w:val="21"/>
              </w:rPr>
            </w:pPr>
            <w:r>
              <w:rPr>
                <w:sz w:val="21"/>
              </w:rPr>
              <w:t>生产制造、财务等全面的企业经营管理，有效提升企</w:t>
            </w:r>
          </w:p>
        </w:tc>
        <w:tc>
          <w:tcPr>
            <w:tcW w:w="3708" w:type="dxa"/>
            <w:tcBorders>
              <w:top w:val="nil"/>
              <w:left w:val="single" w:sz="4" w:space="0" w:color="000000"/>
              <w:bottom w:val="nil"/>
              <w:right w:val="single" w:sz="4" w:space="0" w:color="000000"/>
            </w:tcBorders>
          </w:tcPr>
          <w:p>
            <w:pPr>
              <w:pStyle w:val="TableParagraph"/>
              <w:rPr>
                <w:rFonts w:ascii="Times New Roman"/>
                <w:sz w:val="18"/>
              </w:rPr>
            </w:pPr>
          </w:p>
        </w:tc>
        <w:tc>
          <w:tcPr>
            <w:tcW w:w="994" w:type="dxa"/>
            <w:tcBorders>
              <w:top w:val="nil"/>
              <w:left w:val="single" w:sz="4" w:space="0" w:color="000000"/>
              <w:bottom w:val="nil"/>
              <w:right w:val="single" w:sz="4" w:space="0" w:color="000000"/>
            </w:tcBorders>
          </w:tcPr>
          <w:p>
            <w:pPr>
              <w:pStyle w:val="TableParagraph"/>
              <w:rPr>
                <w:rFonts w:ascii="Times New Roman"/>
                <w:sz w:val="18"/>
              </w:rPr>
            </w:pPr>
          </w:p>
        </w:tc>
        <w:tc>
          <w:tcPr>
            <w:tcW w:w="1167" w:type="dxa"/>
            <w:vMerge/>
            <w:tcBorders>
              <w:top w:val="nil"/>
              <w:left w:val="single" w:sz="4" w:space="0" w:color="000000"/>
              <w:bottom w:val="single" w:sz="4" w:space="0" w:color="000000"/>
            </w:tcBorders>
          </w:tcPr>
          <w:p>
            <w:pPr>
              <w:rPr>
                <w:sz w:val="2"/>
                <w:szCs w:val="2"/>
              </w:rPr>
            </w:pPr>
          </w:p>
        </w:tc>
      </w:tr>
      <w:tr>
        <w:trPr>
          <w:trHeight w:val="273" w:hRule="atLeast"/>
        </w:trPr>
        <w:tc>
          <w:tcPr>
            <w:tcW w:w="636" w:type="dxa"/>
            <w:tcBorders>
              <w:top w:val="nil"/>
              <w:bottom w:val="nil"/>
              <w:right w:val="single" w:sz="4" w:space="0" w:color="000000"/>
            </w:tcBorders>
          </w:tcPr>
          <w:p>
            <w:pPr>
              <w:pStyle w:val="TableParagraph"/>
              <w:rPr>
                <w:rFonts w:ascii="Times New Roman"/>
                <w:sz w:val="20"/>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20"/>
              </w:rPr>
            </w:pPr>
          </w:p>
        </w:tc>
        <w:tc>
          <w:tcPr>
            <w:tcW w:w="5064" w:type="dxa"/>
            <w:tcBorders>
              <w:top w:val="nil"/>
              <w:left w:val="single" w:sz="4" w:space="0" w:color="000000"/>
              <w:bottom w:val="nil"/>
              <w:right w:val="single" w:sz="4" w:space="0" w:color="000000"/>
            </w:tcBorders>
          </w:tcPr>
          <w:p>
            <w:pPr>
              <w:pStyle w:val="TableParagraph"/>
              <w:spacing w:line="253" w:lineRule="exact" w:before="1"/>
              <w:ind w:left="117"/>
              <w:rPr>
                <w:sz w:val="21"/>
              </w:rPr>
            </w:pPr>
            <w:r>
              <w:rPr>
                <w:sz w:val="21"/>
              </w:rPr>
              <w:t>业运营管理能力。包括：从销售接单，到生产计划、</w:t>
            </w:r>
          </w:p>
        </w:tc>
        <w:tc>
          <w:tcPr>
            <w:tcW w:w="3708" w:type="dxa"/>
            <w:tcBorders>
              <w:top w:val="nil"/>
              <w:left w:val="single" w:sz="4" w:space="0" w:color="000000"/>
              <w:bottom w:val="nil"/>
              <w:right w:val="single" w:sz="4" w:space="0" w:color="000000"/>
            </w:tcBorders>
          </w:tcPr>
          <w:p>
            <w:pPr>
              <w:pStyle w:val="TableParagraph"/>
              <w:spacing w:line="253" w:lineRule="exact" w:before="1"/>
              <w:ind w:left="117"/>
              <w:rPr>
                <w:sz w:val="21"/>
              </w:rPr>
            </w:pPr>
            <w:r>
              <w:rPr>
                <w:spacing w:val="-10"/>
                <w:sz w:val="21"/>
              </w:rPr>
              <w:t>销售管理、产品结构管理、</w:t>
            </w:r>
            <w:r>
              <w:rPr>
                <w:rFonts w:ascii="Times New Roman" w:eastAsia="Times New Roman"/>
                <w:sz w:val="21"/>
              </w:rPr>
              <w:t>MRP</w:t>
            </w:r>
            <w:r>
              <w:rPr>
                <w:spacing w:val="-13"/>
                <w:sz w:val="21"/>
              </w:rPr>
              <w:t>、采购</w:t>
            </w:r>
          </w:p>
        </w:tc>
        <w:tc>
          <w:tcPr>
            <w:tcW w:w="994" w:type="dxa"/>
            <w:tcBorders>
              <w:top w:val="nil"/>
              <w:left w:val="single" w:sz="4" w:space="0" w:color="000000"/>
              <w:bottom w:val="nil"/>
              <w:right w:val="single" w:sz="4" w:space="0" w:color="000000"/>
            </w:tcBorders>
          </w:tcPr>
          <w:p>
            <w:pPr>
              <w:pStyle w:val="TableParagraph"/>
              <w:rPr>
                <w:rFonts w:ascii="Times New Roman"/>
                <w:sz w:val="20"/>
              </w:rPr>
            </w:pPr>
          </w:p>
        </w:tc>
        <w:tc>
          <w:tcPr>
            <w:tcW w:w="1167" w:type="dxa"/>
            <w:vMerge/>
            <w:tcBorders>
              <w:top w:val="nil"/>
              <w:left w:val="single" w:sz="4" w:space="0" w:color="000000"/>
              <w:bottom w:val="single" w:sz="4" w:space="0" w:color="000000"/>
            </w:tcBorders>
          </w:tcPr>
          <w:p>
            <w:pPr>
              <w:rPr>
                <w:sz w:val="2"/>
                <w:szCs w:val="2"/>
              </w:rPr>
            </w:pPr>
          </w:p>
        </w:tc>
      </w:tr>
      <w:tr>
        <w:trPr>
          <w:trHeight w:val="526" w:hRule="atLeast"/>
        </w:trPr>
        <w:tc>
          <w:tcPr>
            <w:tcW w:w="636" w:type="dxa"/>
            <w:tcBorders>
              <w:top w:val="nil"/>
              <w:bottom w:val="nil"/>
              <w:right w:val="single" w:sz="4" w:space="0" w:color="000000"/>
            </w:tcBorders>
          </w:tcPr>
          <w:p>
            <w:pPr>
              <w:pStyle w:val="TableParagraph"/>
              <w:spacing w:before="132"/>
              <w:ind w:left="107"/>
              <w:rPr>
                <w:rFonts w:ascii="Times New Roman"/>
                <w:sz w:val="21"/>
              </w:rPr>
            </w:pPr>
            <w:r>
              <w:rPr>
                <w:rFonts w:ascii="Times New Roman"/>
                <w:sz w:val="21"/>
              </w:rPr>
              <w:t>20</w:t>
            </w: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spacing w:before="125"/>
              <w:ind w:left="220" w:right="191"/>
              <w:jc w:val="center"/>
              <w:rPr>
                <w:sz w:val="21"/>
              </w:rPr>
            </w:pPr>
            <w:r>
              <w:rPr>
                <w:sz w:val="21"/>
              </w:rPr>
              <w:t>资源计划 Ⅱ</w:t>
            </w:r>
          </w:p>
        </w:tc>
        <w:tc>
          <w:tcPr>
            <w:tcW w:w="5064" w:type="dxa"/>
            <w:tcBorders>
              <w:top w:val="nil"/>
              <w:left w:val="single" w:sz="4" w:space="0" w:color="000000"/>
              <w:bottom w:val="nil"/>
              <w:right w:val="single" w:sz="4" w:space="0" w:color="000000"/>
            </w:tcBorders>
          </w:tcPr>
          <w:p>
            <w:pPr>
              <w:pStyle w:val="TableParagraph"/>
              <w:spacing w:line="258" w:lineRule="exact"/>
              <w:ind w:left="117"/>
              <w:rPr>
                <w:sz w:val="21"/>
              </w:rPr>
            </w:pPr>
            <w:r>
              <w:rPr>
                <w:spacing w:val="-3"/>
                <w:sz w:val="21"/>
              </w:rPr>
              <w:t>物料采购、仓库进出料管理、质量管理、财务与成本</w:t>
            </w:r>
          </w:p>
          <w:p>
            <w:pPr>
              <w:pStyle w:val="TableParagraph"/>
              <w:spacing w:line="245" w:lineRule="exact" w:before="4"/>
              <w:ind w:left="117"/>
              <w:rPr>
                <w:sz w:val="21"/>
              </w:rPr>
            </w:pPr>
            <w:r>
              <w:rPr>
                <w:spacing w:val="-3"/>
                <w:sz w:val="21"/>
              </w:rPr>
              <w:t>核算，让企业在管理和组织上采取更加灵活的方式，</w:t>
            </w:r>
          </w:p>
        </w:tc>
        <w:tc>
          <w:tcPr>
            <w:tcW w:w="3708" w:type="dxa"/>
            <w:tcBorders>
              <w:top w:val="nil"/>
              <w:left w:val="single" w:sz="4" w:space="0" w:color="000000"/>
              <w:bottom w:val="nil"/>
              <w:right w:val="single" w:sz="4" w:space="0" w:color="000000"/>
            </w:tcBorders>
          </w:tcPr>
          <w:p>
            <w:pPr>
              <w:pStyle w:val="TableParagraph"/>
              <w:spacing w:line="258" w:lineRule="exact"/>
              <w:ind w:left="117"/>
              <w:rPr>
                <w:sz w:val="21"/>
              </w:rPr>
            </w:pPr>
            <w:r>
              <w:rPr>
                <w:spacing w:val="-12"/>
                <w:sz w:val="21"/>
              </w:rPr>
              <w:t>管理、库存管理、质量管理、应收应付</w:t>
            </w:r>
          </w:p>
          <w:p>
            <w:pPr>
              <w:pStyle w:val="TableParagraph"/>
              <w:spacing w:line="245" w:lineRule="exact" w:before="4"/>
              <w:ind w:left="117"/>
              <w:rPr>
                <w:sz w:val="21"/>
              </w:rPr>
            </w:pPr>
            <w:r>
              <w:rPr>
                <w:spacing w:val="-12"/>
                <w:sz w:val="21"/>
              </w:rPr>
              <w:t>管理、总账管理、成本管理，以及相关</w:t>
            </w:r>
          </w:p>
        </w:tc>
        <w:tc>
          <w:tcPr>
            <w:tcW w:w="994" w:type="dxa"/>
            <w:tcBorders>
              <w:top w:val="nil"/>
              <w:left w:val="single" w:sz="4" w:space="0" w:color="000000"/>
              <w:bottom w:val="nil"/>
              <w:right w:val="single" w:sz="4" w:space="0" w:color="000000"/>
            </w:tcBorders>
          </w:tcPr>
          <w:p>
            <w:pPr>
              <w:pStyle w:val="TableParagraph"/>
              <w:spacing w:before="125"/>
              <w:ind w:left="117"/>
              <w:rPr>
                <w:sz w:val="21"/>
              </w:rPr>
            </w:pPr>
            <w:r>
              <w:rPr>
                <w:rFonts w:ascii="Times New Roman" w:eastAsia="Times New Roman"/>
                <w:sz w:val="21"/>
              </w:rPr>
              <w:t>5 </w:t>
            </w:r>
            <w:r>
              <w:rPr>
                <w:sz w:val="21"/>
              </w:rPr>
              <w:t>万元</w:t>
            </w:r>
          </w:p>
        </w:tc>
        <w:tc>
          <w:tcPr>
            <w:tcW w:w="1167" w:type="dxa"/>
            <w:vMerge/>
            <w:tcBorders>
              <w:top w:val="nil"/>
              <w:left w:val="single" w:sz="4" w:space="0" w:color="000000"/>
              <w:bottom w:val="single" w:sz="4" w:space="0" w:color="000000"/>
            </w:tcBorders>
          </w:tcPr>
          <w:p>
            <w:pPr>
              <w:rPr>
                <w:sz w:val="2"/>
                <w:szCs w:val="2"/>
              </w:rPr>
            </w:pPr>
          </w:p>
        </w:tc>
      </w:tr>
      <w:tr>
        <w:trPr>
          <w:trHeight w:val="261" w:hRule="atLeast"/>
        </w:trPr>
        <w:tc>
          <w:tcPr>
            <w:tcW w:w="636" w:type="dxa"/>
            <w:tcBorders>
              <w:top w:val="nil"/>
              <w:bottom w:val="nil"/>
              <w:right w:val="single" w:sz="4" w:space="0" w:color="000000"/>
            </w:tcBorders>
          </w:tcPr>
          <w:p>
            <w:pPr>
              <w:pStyle w:val="TableParagraph"/>
              <w:rPr>
                <w:rFonts w:ascii="Times New Roman"/>
                <w:sz w:val="18"/>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18"/>
              </w:rPr>
            </w:pPr>
          </w:p>
        </w:tc>
        <w:tc>
          <w:tcPr>
            <w:tcW w:w="5064" w:type="dxa"/>
            <w:tcBorders>
              <w:top w:val="nil"/>
              <w:left w:val="single" w:sz="4" w:space="0" w:color="000000"/>
              <w:bottom w:val="nil"/>
              <w:right w:val="single" w:sz="4" w:space="0" w:color="000000"/>
            </w:tcBorders>
          </w:tcPr>
          <w:p>
            <w:pPr>
              <w:pStyle w:val="TableParagraph"/>
              <w:spacing w:line="241" w:lineRule="exact"/>
              <w:ind w:left="117"/>
              <w:rPr>
                <w:sz w:val="21"/>
              </w:rPr>
            </w:pPr>
            <w:r>
              <w:rPr>
                <w:sz w:val="21"/>
              </w:rPr>
              <w:t>实施、敏捷的面对供需变动，在掌握准确、及时、完</w:t>
            </w:r>
          </w:p>
        </w:tc>
        <w:tc>
          <w:tcPr>
            <w:tcW w:w="3708" w:type="dxa"/>
            <w:tcBorders>
              <w:top w:val="nil"/>
              <w:left w:val="single" w:sz="4" w:space="0" w:color="000000"/>
              <w:bottom w:val="nil"/>
              <w:right w:val="single" w:sz="4" w:space="0" w:color="000000"/>
            </w:tcBorders>
          </w:tcPr>
          <w:p>
            <w:pPr>
              <w:pStyle w:val="TableParagraph"/>
              <w:spacing w:line="241" w:lineRule="exact"/>
              <w:ind w:left="117"/>
              <w:rPr>
                <w:sz w:val="21"/>
              </w:rPr>
            </w:pPr>
            <w:r>
              <w:rPr>
                <w:sz w:val="21"/>
              </w:rPr>
              <w:t>统计分析报表。</w:t>
            </w:r>
          </w:p>
        </w:tc>
        <w:tc>
          <w:tcPr>
            <w:tcW w:w="994" w:type="dxa"/>
            <w:tcBorders>
              <w:top w:val="nil"/>
              <w:left w:val="single" w:sz="4" w:space="0" w:color="000000"/>
              <w:bottom w:val="nil"/>
              <w:right w:val="single" w:sz="4" w:space="0" w:color="000000"/>
            </w:tcBorders>
          </w:tcPr>
          <w:p>
            <w:pPr>
              <w:pStyle w:val="TableParagraph"/>
              <w:rPr>
                <w:rFonts w:ascii="Times New Roman"/>
                <w:sz w:val="18"/>
              </w:rPr>
            </w:pPr>
          </w:p>
        </w:tc>
        <w:tc>
          <w:tcPr>
            <w:tcW w:w="1167" w:type="dxa"/>
            <w:vMerge/>
            <w:tcBorders>
              <w:top w:val="nil"/>
              <w:left w:val="single" w:sz="4" w:space="0" w:color="000000"/>
              <w:bottom w:val="single" w:sz="4" w:space="0" w:color="000000"/>
            </w:tcBorders>
          </w:tcPr>
          <w:p>
            <w:pPr>
              <w:rPr>
                <w:sz w:val="2"/>
                <w:szCs w:val="2"/>
              </w:rPr>
            </w:pPr>
          </w:p>
        </w:tc>
      </w:tr>
      <w:tr>
        <w:trPr>
          <w:trHeight w:val="262" w:hRule="atLeast"/>
        </w:trPr>
        <w:tc>
          <w:tcPr>
            <w:tcW w:w="636" w:type="dxa"/>
            <w:tcBorders>
              <w:top w:val="nil"/>
              <w:bottom w:val="nil"/>
              <w:right w:val="single" w:sz="4" w:space="0" w:color="000000"/>
            </w:tcBorders>
          </w:tcPr>
          <w:p>
            <w:pPr>
              <w:pStyle w:val="TableParagraph"/>
              <w:rPr>
                <w:rFonts w:ascii="Times New Roman"/>
                <w:sz w:val="18"/>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18"/>
              </w:rPr>
            </w:pPr>
          </w:p>
        </w:tc>
        <w:tc>
          <w:tcPr>
            <w:tcW w:w="5064" w:type="dxa"/>
            <w:tcBorders>
              <w:top w:val="nil"/>
              <w:left w:val="single" w:sz="4" w:space="0" w:color="000000"/>
              <w:bottom w:val="nil"/>
              <w:right w:val="single" w:sz="4" w:space="0" w:color="000000"/>
            </w:tcBorders>
          </w:tcPr>
          <w:p>
            <w:pPr>
              <w:pStyle w:val="TableParagraph"/>
              <w:spacing w:line="242" w:lineRule="exact"/>
              <w:ind w:left="117"/>
              <w:rPr>
                <w:sz w:val="21"/>
              </w:rPr>
            </w:pPr>
            <w:r>
              <w:rPr>
                <w:sz w:val="21"/>
              </w:rPr>
              <w:t>整信息的基础上，作出正确决策，采取准确管理的措</w:t>
            </w:r>
          </w:p>
        </w:tc>
        <w:tc>
          <w:tcPr>
            <w:tcW w:w="3708" w:type="dxa"/>
            <w:tcBorders>
              <w:top w:val="nil"/>
              <w:left w:val="single" w:sz="4" w:space="0" w:color="000000"/>
              <w:bottom w:val="nil"/>
              <w:right w:val="single" w:sz="4" w:space="0" w:color="000000"/>
            </w:tcBorders>
          </w:tcPr>
          <w:p>
            <w:pPr>
              <w:pStyle w:val="TableParagraph"/>
              <w:rPr>
                <w:rFonts w:ascii="Times New Roman"/>
                <w:sz w:val="18"/>
              </w:rPr>
            </w:pPr>
          </w:p>
        </w:tc>
        <w:tc>
          <w:tcPr>
            <w:tcW w:w="994" w:type="dxa"/>
            <w:tcBorders>
              <w:top w:val="nil"/>
              <w:left w:val="single" w:sz="4" w:space="0" w:color="000000"/>
              <w:bottom w:val="nil"/>
              <w:right w:val="single" w:sz="4" w:space="0" w:color="000000"/>
            </w:tcBorders>
          </w:tcPr>
          <w:p>
            <w:pPr>
              <w:pStyle w:val="TableParagraph"/>
              <w:rPr>
                <w:rFonts w:ascii="Times New Roman"/>
                <w:sz w:val="18"/>
              </w:rPr>
            </w:pPr>
          </w:p>
        </w:tc>
        <w:tc>
          <w:tcPr>
            <w:tcW w:w="1167" w:type="dxa"/>
            <w:vMerge/>
            <w:tcBorders>
              <w:top w:val="nil"/>
              <w:left w:val="single" w:sz="4" w:space="0" w:color="000000"/>
              <w:bottom w:val="single" w:sz="4" w:space="0" w:color="000000"/>
            </w:tcBorders>
          </w:tcPr>
          <w:p>
            <w:pPr>
              <w:rPr>
                <w:sz w:val="2"/>
                <w:szCs w:val="2"/>
              </w:rPr>
            </w:pPr>
          </w:p>
        </w:tc>
      </w:tr>
      <w:tr>
        <w:trPr>
          <w:trHeight w:val="387" w:hRule="atLeast"/>
        </w:trPr>
        <w:tc>
          <w:tcPr>
            <w:tcW w:w="636" w:type="dxa"/>
            <w:tcBorders>
              <w:top w:val="nil"/>
              <w:bottom w:val="single" w:sz="4" w:space="0" w:color="000000"/>
              <w:right w:val="single" w:sz="4" w:space="0" w:color="000000"/>
            </w:tcBorders>
          </w:tcPr>
          <w:p>
            <w:pPr>
              <w:pStyle w:val="TableParagraph"/>
              <w:rPr>
                <w:rFonts w:ascii="Times New Roman"/>
                <w:sz w:val="20"/>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5064" w:type="dxa"/>
            <w:tcBorders>
              <w:top w:val="nil"/>
              <w:left w:val="single" w:sz="4" w:space="0" w:color="000000"/>
              <w:bottom w:val="single" w:sz="4" w:space="0" w:color="000000"/>
              <w:right w:val="single" w:sz="4" w:space="0" w:color="000000"/>
            </w:tcBorders>
          </w:tcPr>
          <w:p>
            <w:pPr>
              <w:pStyle w:val="TableParagraph"/>
              <w:spacing w:line="267" w:lineRule="exact"/>
              <w:ind w:left="117"/>
              <w:rPr>
                <w:sz w:val="21"/>
              </w:rPr>
            </w:pPr>
            <w:r>
              <w:rPr>
                <w:sz w:val="21"/>
              </w:rPr>
              <w:t>施。</w:t>
            </w:r>
          </w:p>
        </w:tc>
        <w:tc>
          <w:tcPr>
            <w:tcW w:w="3708"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99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167" w:type="dxa"/>
            <w:vMerge/>
            <w:tcBorders>
              <w:top w:val="nil"/>
              <w:left w:val="single" w:sz="4" w:space="0" w:color="000000"/>
              <w:bottom w:val="single" w:sz="4" w:space="0" w:color="000000"/>
            </w:tcBorders>
          </w:tcPr>
          <w:p>
            <w:pPr>
              <w:rPr>
                <w:sz w:val="2"/>
                <w:szCs w:val="2"/>
              </w:rPr>
            </w:pPr>
          </w:p>
        </w:tc>
      </w:tr>
      <w:tr>
        <w:trPr>
          <w:trHeight w:val="268" w:hRule="atLeast"/>
        </w:trPr>
        <w:tc>
          <w:tcPr>
            <w:tcW w:w="636" w:type="dxa"/>
            <w:tcBorders>
              <w:top w:val="single" w:sz="4" w:space="0" w:color="000000"/>
              <w:bottom w:val="nil"/>
              <w:right w:val="single" w:sz="4" w:space="0" w:color="000000"/>
            </w:tcBorders>
          </w:tcPr>
          <w:p>
            <w:pPr>
              <w:pStyle w:val="TableParagraph"/>
              <w:rPr>
                <w:rFonts w:ascii="Times New Roman"/>
                <w:sz w:val="18"/>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5064" w:type="dxa"/>
            <w:tcBorders>
              <w:top w:val="single" w:sz="4" w:space="0" w:color="000000"/>
              <w:left w:val="single" w:sz="4" w:space="0" w:color="000000"/>
              <w:bottom w:val="nil"/>
              <w:right w:val="single" w:sz="4" w:space="0" w:color="000000"/>
            </w:tcBorders>
          </w:tcPr>
          <w:p>
            <w:pPr>
              <w:pStyle w:val="TableParagraph"/>
              <w:spacing w:line="245" w:lineRule="exact" w:before="3"/>
              <w:ind w:left="117"/>
              <w:rPr>
                <w:sz w:val="21"/>
              </w:rPr>
            </w:pPr>
            <w:r>
              <w:rPr>
                <w:sz w:val="21"/>
              </w:rPr>
              <w:t>面向具备较好信息化和数据基础的企业，打通企业内</w:t>
            </w:r>
          </w:p>
        </w:tc>
        <w:tc>
          <w:tcPr>
            <w:tcW w:w="3708"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994"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167"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262" w:hRule="atLeast"/>
        </w:trPr>
        <w:tc>
          <w:tcPr>
            <w:tcW w:w="636" w:type="dxa"/>
            <w:tcBorders>
              <w:top w:val="nil"/>
              <w:bottom w:val="nil"/>
              <w:right w:val="single" w:sz="4" w:space="0" w:color="000000"/>
            </w:tcBorders>
          </w:tcPr>
          <w:p>
            <w:pPr>
              <w:pStyle w:val="TableParagraph"/>
              <w:rPr>
                <w:rFonts w:ascii="Times New Roman"/>
                <w:sz w:val="18"/>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18"/>
              </w:rPr>
            </w:pPr>
          </w:p>
        </w:tc>
        <w:tc>
          <w:tcPr>
            <w:tcW w:w="5064" w:type="dxa"/>
            <w:tcBorders>
              <w:top w:val="nil"/>
              <w:left w:val="single" w:sz="4" w:space="0" w:color="000000"/>
              <w:bottom w:val="nil"/>
              <w:right w:val="single" w:sz="4" w:space="0" w:color="000000"/>
            </w:tcBorders>
          </w:tcPr>
          <w:p>
            <w:pPr>
              <w:pStyle w:val="TableParagraph"/>
              <w:spacing w:line="242" w:lineRule="exact"/>
              <w:ind w:left="117"/>
              <w:rPr>
                <w:sz w:val="21"/>
              </w:rPr>
            </w:pPr>
            <w:r>
              <w:rPr>
                <w:sz w:val="21"/>
              </w:rPr>
              <w:t>信息孤岛，解决运营数据量大、格式杂乱、缺乏管理</w:t>
            </w:r>
          </w:p>
        </w:tc>
        <w:tc>
          <w:tcPr>
            <w:tcW w:w="3708" w:type="dxa"/>
            <w:tcBorders>
              <w:top w:val="nil"/>
              <w:left w:val="single" w:sz="4" w:space="0" w:color="000000"/>
              <w:bottom w:val="nil"/>
              <w:right w:val="single" w:sz="4" w:space="0" w:color="000000"/>
            </w:tcBorders>
          </w:tcPr>
          <w:p>
            <w:pPr>
              <w:pStyle w:val="TableParagraph"/>
              <w:spacing w:line="242" w:lineRule="exact"/>
              <w:ind w:left="117"/>
              <w:rPr>
                <w:sz w:val="21"/>
              </w:rPr>
            </w:pPr>
            <w:r>
              <w:rPr>
                <w:sz w:val="21"/>
              </w:rPr>
              <w:t>数据集成、数据补录、数据处理聚合、</w:t>
            </w:r>
          </w:p>
        </w:tc>
        <w:tc>
          <w:tcPr>
            <w:tcW w:w="994" w:type="dxa"/>
            <w:tcBorders>
              <w:top w:val="nil"/>
              <w:left w:val="single" w:sz="4" w:space="0" w:color="000000"/>
              <w:bottom w:val="nil"/>
              <w:right w:val="single" w:sz="4" w:space="0" w:color="000000"/>
            </w:tcBorders>
          </w:tcPr>
          <w:p>
            <w:pPr>
              <w:pStyle w:val="TableParagraph"/>
              <w:rPr>
                <w:rFonts w:ascii="Times New Roman"/>
                <w:sz w:val="18"/>
              </w:rPr>
            </w:pPr>
          </w:p>
        </w:tc>
        <w:tc>
          <w:tcPr>
            <w:tcW w:w="1167" w:type="dxa"/>
            <w:vMerge/>
            <w:tcBorders>
              <w:top w:val="nil"/>
              <w:left w:val="single" w:sz="4" w:space="0" w:color="000000"/>
              <w:bottom w:val="single" w:sz="4" w:space="0" w:color="000000"/>
            </w:tcBorders>
          </w:tcPr>
          <w:p>
            <w:pPr>
              <w:rPr>
                <w:sz w:val="2"/>
                <w:szCs w:val="2"/>
              </w:rPr>
            </w:pPr>
          </w:p>
        </w:tc>
      </w:tr>
      <w:tr>
        <w:trPr>
          <w:trHeight w:val="255" w:hRule="atLeast"/>
        </w:trPr>
        <w:tc>
          <w:tcPr>
            <w:tcW w:w="636" w:type="dxa"/>
            <w:tcBorders>
              <w:top w:val="nil"/>
              <w:bottom w:val="nil"/>
              <w:right w:val="single" w:sz="4" w:space="0" w:color="000000"/>
            </w:tcBorders>
          </w:tcPr>
          <w:p>
            <w:pPr>
              <w:pStyle w:val="TableParagraph"/>
              <w:rPr>
                <w:rFonts w:ascii="Times New Roman"/>
                <w:sz w:val="18"/>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18"/>
              </w:rPr>
            </w:pPr>
          </w:p>
        </w:tc>
        <w:tc>
          <w:tcPr>
            <w:tcW w:w="5064" w:type="dxa"/>
            <w:tcBorders>
              <w:top w:val="nil"/>
              <w:left w:val="single" w:sz="4" w:space="0" w:color="000000"/>
              <w:bottom w:val="nil"/>
              <w:right w:val="single" w:sz="4" w:space="0" w:color="000000"/>
            </w:tcBorders>
          </w:tcPr>
          <w:p>
            <w:pPr>
              <w:pStyle w:val="TableParagraph"/>
              <w:spacing w:line="235" w:lineRule="exact"/>
              <w:ind w:left="117"/>
              <w:rPr>
                <w:sz w:val="21"/>
              </w:rPr>
            </w:pPr>
            <w:r>
              <w:rPr>
                <w:sz w:val="21"/>
              </w:rPr>
              <w:t>利用手段、手工报表效率低、数据既无法抽象也无法</w:t>
            </w:r>
          </w:p>
        </w:tc>
        <w:tc>
          <w:tcPr>
            <w:tcW w:w="3708" w:type="dxa"/>
            <w:tcBorders>
              <w:top w:val="nil"/>
              <w:left w:val="single" w:sz="4" w:space="0" w:color="000000"/>
              <w:bottom w:val="nil"/>
              <w:right w:val="single" w:sz="4" w:space="0" w:color="000000"/>
            </w:tcBorders>
          </w:tcPr>
          <w:p>
            <w:pPr>
              <w:pStyle w:val="TableParagraph"/>
              <w:spacing w:line="235" w:lineRule="exact"/>
              <w:ind w:left="117"/>
              <w:rPr>
                <w:sz w:val="21"/>
              </w:rPr>
            </w:pPr>
            <w:r>
              <w:rPr>
                <w:sz w:val="21"/>
              </w:rPr>
              <w:t>数据建模、图表设计、看板设计、异常</w:t>
            </w:r>
          </w:p>
        </w:tc>
        <w:tc>
          <w:tcPr>
            <w:tcW w:w="994" w:type="dxa"/>
            <w:tcBorders>
              <w:top w:val="nil"/>
              <w:left w:val="single" w:sz="4" w:space="0" w:color="000000"/>
              <w:bottom w:val="nil"/>
              <w:right w:val="single" w:sz="4" w:space="0" w:color="000000"/>
            </w:tcBorders>
          </w:tcPr>
          <w:p>
            <w:pPr>
              <w:pStyle w:val="TableParagraph"/>
              <w:rPr>
                <w:rFonts w:ascii="Times New Roman"/>
                <w:sz w:val="18"/>
              </w:rPr>
            </w:pPr>
          </w:p>
        </w:tc>
        <w:tc>
          <w:tcPr>
            <w:tcW w:w="1167" w:type="dxa"/>
            <w:vMerge/>
            <w:tcBorders>
              <w:top w:val="nil"/>
              <w:left w:val="single" w:sz="4" w:space="0" w:color="000000"/>
              <w:bottom w:val="single" w:sz="4" w:space="0" w:color="000000"/>
            </w:tcBorders>
          </w:tcPr>
          <w:p>
            <w:pPr>
              <w:rPr>
                <w:sz w:val="2"/>
                <w:szCs w:val="2"/>
              </w:rPr>
            </w:pPr>
          </w:p>
        </w:tc>
      </w:tr>
      <w:tr>
        <w:trPr>
          <w:trHeight w:val="277" w:hRule="atLeast"/>
        </w:trPr>
        <w:tc>
          <w:tcPr>
            <w:tcW w:w="636" w:type="dxa"/>
            <w:tcBorders>
              <w:top w:val="nil"/>
              <w:bottom w:val="nil"/>
              <w:right w:val="single" w:sz="4" w:space="0" w:color="000000"/>
            </w:tcBorders>
          </w:tcPr>
          <w:p>
            <w:pPr>
              <w:pStyle w:val="TableParagraph"/>
              <w:spacing w:before="10"/>
              <w:ind w:left="107"/>
              <w:rPr>
                <w:rFonts w:ascii="Times New Roman"/>
                <w:sz w:val="21"/>
              </w:rPr>
            </w:pPr>
            <w:r>
              <w:rPr>
                <w:rFonts w:ascii="Times New Roman"/>
                <w:sz w:val="21"/>
              </w:rPr>
              <w:t>21</w:t>
            </w: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spacing w:line="254" w:lineRule="exact" w:before="3"/>
              <w:ind w:left="221" w:right="191"/>
              <w:jc w:val="center"/>
              <w:rPr>
                <w:rFonts w:ascii="Times New Roman" w:eastAsia="Times New Roman"/>
                <w:sz w:val="21"/>
              </w:rPr>
            </w:pPr>
            <w:r>
              <w:rPr>
                <w:sz w:val="21"/>
              </w:rPr>
              <w:t>数据管理，</w:t>
            </w:r>
            <w:r>
              <w:rPr>
                <w:rFonts w:ascii="Times New Roman" w:eastAsia="Times New Roman"/>
                <w:sz w:val="21"/>
              </w:rPr>
              <w:t>BI</w:t>
            </w:r>
          </w:p>
        </w:tc>
        <w:tc>
          <w:tcPr>
            <w:tcW w:w="5064" w:type="dxa"/>
            <w:tcBorders>
              <w:top w:val="nil"/>
              <w:left w:val="single" w:sz="4" w:space="0" w:color="000000"/>
              <w:bottom w:val="nil"/>
              <w:right w:val="single" w:sz="4" w:space="0" w:color="000000"/>
            </w:tcBorders>
          </w:tcPr>
          <w:p>
            <w:pPr>
              <w:pStyle w:val="TableParagraph"/>
              <w:spacing w:line="254" w:lineRule="exact" w:before="3"/>
              <w:ind w:left="117"/>
              <w:rPr>
                <w:sz w:val="21"/>
              </w:rPr>
            </w:pPr>
            <w:r>
              <w:rPr>
                <w:sz w:val="21"/>
              </w:rPr>
              <w:t>还原、缺乏穿透式查询分析能力等问题，让高层管理</w:t>
            </w:r>
          </w:p>
        </w:tc>
        <w:tc>
          <w:tcPr>
            <w:tcW w:w="3708" w:type="dxa"/>
            <w:tcBorders>
              <w:top w:val="nil"/>
              <w:left w:val="single" w:sz="4" w:space="0" w:color="000000"/>
              <w:bottom w:val="nil"/>
              <w:right w:val="single" w:sz="4" w:space="0" w:color="000000"/>
            </w:tcBorders>
          </w:tcPr>
          <w:p>
            <w:pPr>
              <w:pStyle w:val="TableParagraph"/>
              <w:spacing w:line="254" w:lineRule="exact" w:before="3"/>
              <w:ind w:left="117" w:right="-29"/>
              <w:rPr>
                <w:sz w:val="21"/>
              </w:rPr>
            </w:pPr>
            <w:r>
              <w:rPr>
                <w:spacing w:val="-16"/>
                <w:sz w:val="21"/>
              </w:rPr>
              <w:t>预警、趋势预测、智能分析辅助决策等，</w:t>
            </w:r>
          </w:p>
        </w:tc>
        <w:tc>
          <w:tcPr>
            <w:tcW w:w="994" w:type="dxa"/>
            <w:tcBorders>
              <w:top w:val="nil"/>
              <w:left w:val="single" w:sz="4" w:space="0" w:color="000000"/>
              <w:bottom w:val="nil"/>
              <w:right w:val="single" w:sz="4" w:space="0" w:color="000000"/>
            </w:tcBorders>
          </w:tcPr>
          <w:p>
            <w:pPr>
              <w:pStyle w:val="TableParagraph"/>
              <w:spacing w:line="254" w:lineRule="exact" w:before="3"/>
              <w:ind w:left="117"/>
              <w:rPr>
                <w:sz w:val="21"/>
              </w:rPr>
            </w:pPr>
            <w:r>
              <w:rPr>
                <w:rFonts w:ascii="Times New Roman" w:eastAsia="Times New Roman"/>
                <w:sz w:val="21"/>
              </w:rPr>
              <w:t>5 </w:t>
            </w:r>
            <w:r>
              <w:rPr>
                <w:sz w:val="21"/>
              </w:rPr>
              <w:t>万元</w:t>
            </w:r>
          </w:p>
        </w:tc>
        <w:tc>
          <w:tcPr>
            <w:tcW w:w="1167" w:type="dxa"/>
            <w:vMerge/>
            <w:tcBorders>
              <w:top w:val="nil"/>
              <w:left w:val="single" w:sz="4" w:space="0" w:color="000000"/>
              <w:bottom w:val="single" w:sz="4" w:space="0" w:color="000000"/>
            </w:tcBorders>
          </w:tcPr>
          <w:p>
            <w:pPr>
              <w:rPr>
                <w:sz w:val="2"/>
                <w:szCs w:val="2"/>
              </w:rPr>
            </w:pPr>
          </w:p>
        </w:tc>
      </w:tr>
      <w:tr>
        <w:trPr>
          <w:trHeight w:val="254" w:hRule="atLeast"/>
        </w:trPr>
        <w:tc>
          <w:tcPr>
            <w:tcW w:w="636" w:type="dxa"/>
            <w:tcBorders>
              <w:top w:val="nil"/>
              <w:bottom w:val="nil"/>
              <w:right w:val="single" w:sz="4" w:space="0" w:color="000000"/>
            </w:tcBorders>
          </w:tcPr>
          <w:p>
            <w:pPr>
              <w:pStyle w:val="TableParagraph"/>
              <w:rPr>
                <w:rFonts w:ascii="Times New Roman"/>
                <w:sz w:val="18"/>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18"/>
              </w:rPr>
            </w:pPr>
          </w:p>
        </w:tc>
        <w:tc>
          <w:tcPr>
            <w:tcW w:w="5064" w:type="dxa"/>
            <w:tcBorders>
              <w:top w:val="nil"/>
              <w:left w:val="single" w:sz="4" w:space="0" w:color="000000"/>
              <w:bottom w:val="nil"/>
              <w:right w:val="single" w:sz="4" w:space="0" w:color="000000"/>
            </w:tcBorders>
          </w:tcPr>
          <w:p>
            <w:pPr>
              <w:pStyle w:val="TableParagraph"/>
              <w:spacing w:line="234" w:lineRule="exact"/>
              <w:ind w:left="117"/>
              <w:rPr>
                <w:sz w:val="21"/>
              </w:rPr>
            </w:pPr>
            <w:r>
              <w:rPr>
                <w:sz w:val="21"/>
              </w:rPr>
              <w:t>者随时随地以直观易懂的方式查看数据，及时把握企</w:t>
            </w:r>
          </w:p>
        </w:tc>
        <w:tc>
          <w:tcPr>
            <w:tcW w:w="3708" w:type="dxa"/>
            <w:tcBorders>
              <w:top w:val="nil"/>
              <w:left w:val="single" w:sz="4" w:space="0" w:color="000000"/>
              <w:bottom w:val="nil"/>
              <w:right w:val="single" w:sz="4" w:space="0" w:color="000000"/>
            </w:tcBorders>
          </w:tcPr>
          <w:p>
            <w:pPr>
              <w:pStyle w:val="TableParagraph"/>
              <w:spacing w:line="234" w:lineRule="exact"/>
              <w:ind w:left="117"/>
              <w:rPr>
                <w:sz w:val="21"/>
              </w:rPr>
            </w:pPr>
            <w:r>
              <w:rPr>
                <w:sz w:val="21"/>
              </w:rPr>
              <w:t>实现制造业全价值链数据可视化和穿</w:t>
            </w:r>
          </w:p>
        </w:tc>
        <w:tc>
          <w:tcPr>
            <w:tcW w:w="994" w:type="dxa"/>
            <w:tcBorders>
              <w:top w:val="nil"/>
              <w:left w:val="single" w:sz="4" w:space="0" w:color="000000"/>
              <w:bottom w:val="nil"/>
              <w:right w:val="single" w:sz="4" w:space="0" w:color="000000"/>
            </w:tcBorders>
          </w:tcPr>
          <w:p>
            <w:pPr>
              <w:pStyle w:val="TableParagraph"/>
              <w:rPr>
                <w:rFonts w:ascii="Times New Roman"/>
                <w:sz w:val="18"/>
              </w:rPr>
            </w:pPr>
          </w:p>
        </w:tc>
        <w:tc>
          <w:tcPr>
            <w:tcW w:w="1167" w:type="dxa"/>
            <w:vMerge/>
            <w:tcBorders>
              <w:top w:val="nil"/>
              <w:left w:val="single" w:sz="4" w:space="0" w:color="000000"/>
              <w:bottom w:val="single" w:sz="4" w:space="0" w:color="000000"/>
            </w:tcBorders>
          </w:tcPr>
          <w:p>
            <w:pPr>
              <w:rPr>
                <w:sz w:val="2"/>
                <w:szCs w:val="2"/>
              </w:rPr>
            </w:pPr>
          </w:p>
        </w:tc>
      </w:tr>
      <w:tr>
        <w:trPr>
          <w:trHeight w:val="261" w:hRule="atLeast"/>
        </w:trPr>
        <w:tc>
          <w:tcPr>
            <w:tcW w:w="636" w:type="dxa"/>
            <w:tcBorders>
              <w:top w:val="nil"/>
              <w:bottom w:val="nil"/>
              <w:right w:val="single" w:sz="4" w:space="0" w:color="000000"/>
            </w:tcBorders>
          </w:tcPr>
          <w:p>
            <w:pPr>
              <w:pStyle w:val="TableParagraph"/>
              <w:rPr>
                <w:rFonts w:ascii="Times New Roman"/>
                <w:sz w:val="18"/>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18"/>
              </w:rPr>
            </w:pPr>
          </w:p>
        </w:tc>
        <w:tc>
          <w:tcPr>
            <w:tcW w:w="5064" w:type="dxa"/>
            <w:tcBorders>
              <w:top w:val="nil"/>
              <w:left w:val="single" w:sz="4" w:space="0" w:color="000000"/>
              <w:bottom w:val="nil"/>
              <w:right w:val="single" w:sz="4" w:space="0" w:color="000000"/>
            </w:tcBorders>
          </w:tcPr>
          <w:p>
            <w:pPr>
              <w:pStyle w:val="TableParagraph"/>
              <w:spacing w:line="241" w:lineRule="exact"/>
              <w:ind w:left="117" w:right="-29"/>
              <w:rPr>
                <w:sz w:val="21"/>
              </w:rPr>
            </w:pPr>
            <w:r>
              <w:rPr>
                <w:spacing w:val="-10"/>
                <w:sz w:val="21"/>
              </w:rPr>
              <w:t>业运营状况并做出合适决策，有效提升企业运营效率，</w:t>
            </w:r>
          </w:p>
        </w:tc>
        <w:tc>
          <w:tcPr>
            <w:tcW w:w="3708" w:type="dxa"/>
            <w:tcBorders>
              <w:top w:val="nil"/>
              <w:left w:val="single" w:sz="4" w:space="0" w:color="000000"/>
              <w:bottom w:val="nil"/>
              <w:right w:val="single" w:sz="4" w:space="0" w:color="000000"/>
            </w:tcBorders>
          </w:tcPr>
          <w:p>
            <w:pPr>
              <w:pStyle w:val="TableParagraph"/>
              <w:spacing w:line="241" w:lineRule="exact"/>
              <w:ind w:left="117"/>
              <w:rPr>
                <w:sz w:val="21"/>
              </w:rPr>
            </w:pPr>
            <w:r>
              <w:rPr>
                <w:sz w:val="21"/>
              </w:rPr>
              <w:t>透式分析，可追踪、可上卷下钻。</w:t>
            </w:r>
          </w:p>
        </w:tc>
        <w:tc>
          <w:tcPr>
            <w:tcW w:w="994" w:type="dxa"/>
            <w:tcBorders>
              <w:top w:val="nil"/>
              <w:left w:val="single" w:sz="4" w:space="0" w:color="000000"/>
              <w:bottom w:val="nil"/>
              <w:right w:val="single" w:sz="4" w:space="0" w:color="000000"/>
            </w:tcBorders>
          </w:tcPr>
          <w:p>
            <w:pPr>
              <w:pStyle w:val="TableParagraph"/>
              <w:rPr>
                <w:rFonts w:ascii="Times New Roman"/>
                <w:sz w:val="18"/>
              </w:rPr>
            </w:pPr>
          </w:p>
        </w:tc>
        <w:tc>
          <w:tcPr>
            <w:tcW w:w="1167" w:type="dxa"/>
            <w:vMerge/>
            <w:tcBorders>
              <w:top w:val="nil"/>
              <w:left w:val="single" w:sz="4" w:space="0" w:color="000000"/>
              <w:bottom w:val="single" w:sz="4" w:space="0" w:color="000000"/>
            </w:tcBorders>
          </w:tcPr>
          <w:p>
            <w:pPr>
              <w:rPr>
                <w:sz w:val="2"/>
                <w:szCs w:val="2"/>
              </w:rPr>
            </w:pPr>
          </w:p>
        </w:tc>
      </w:tr>
      <w:tr>
        <w:trPr>
          <w:trHeight w:val="388" w:hRule="atLeast"/>
        </w:trPr>
        <w:tc>
          <w:tcPr>
            <w:tcW w:w="636" w:type="dxa"/>
            <w:tcBorders>
              <w:top w:val="nil"/>
              <w:bottom w:val="single" w:sz="4" w:space="0" w:color="000000"/>
              <w:right w:val="single" w:sz="4" w:space="0" w:color="000000"/>
            </w:tcBorders>
          </w:tcPr>
          <w:p>
            <w:pPr>
              <w:pStyle w:val="TableParagraph"/>
              <w:rPr>
                <w:rFonts w:ascii="Times New Roman"/>
                <w:sz w:val="20"/>
              </w:rPr>
            </w:pPr>
          </w:p>
        </w:tc>
        <w:tc>
          <w:tcPr>
            <w:tcW w:w="775" w:type="dxa"/>
            <w:vMerge/>
            <w:tcBorders>
              <w:top w:val="nil"/>
              <w:left w:val="single" w:sz="4" w:space="0" w:color="000000"/>
              <w:bottom w:val="single" w:sz="4" w:space="0" w:color="000000"/>
              <w:right w:val="single" w:sz="4" w:space="0" w:color="000000"/>
            </w:tcBorders>
          </w:tcPr>
          <w:p>
            <w:pPr>
              <w:rPr>
                <w:sz w:val="2"/>
                <w:szCs w:val="2"/>
              </w:rPr>
            </w:pPr>
          </w:p>
        </w:tc>
        <w:tc>
          <w:tcPr>
            <w:tcW w:w="1723"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5064" w:type="dxa"/>
            <w:tcBorders>
              <w:top w:val="nil"/>
              <w:left w:val="single" w:sz="4" w:space="0" w:color="000000"/>
              <w:bottom w:val="single" w:sz="4" w:space="0" w:color="000000"/>
              <w:right w:val="single" w:sz="4" w:space="0" w:color="000000"/>
            </w:tcBorders>
          </w:tcPr>
          <w:p>
            <w:pPr>
              <w:pStyle w:val="TableParagraph"/>
              <w:spacing w:line="266" w:lineRule="exact"/>
              <w:ind w:left="117"/>
              <w:rPr>
                <w:sz w:val="21"/>
              </w:rPr>
            </w:pPr>
            <w:r>
              <w:rPr>
                <w:sz w:val="21"/>
              </w:rPr>
              <w:t>提高决策准确度与及时性。</w:t>
            </w:r>
          </w:p>
        </w:tc>
        <w:tc>
          <w:tcPr>
            <w:tcW w:w="3708"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99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167" w:type="dxa"/>
            <w:vMerge/>
            <w:tcBorders>
              <w:top w:val="nil"/>
              <w:left w:val="single" w:sz="4" w:space="0" w:color="000000"/>
              <w:bottom w:val="single" w:sz="4" w:space="0" w:color="000000"/>
            </w:tcBorders>
          </w:tcPr>
          <w:p>
            <w:pPr>
              <w:rPr>
                <w:sz w:val="2"/>
                <w:szCs w:val="2"/>
              </w:rPr>
            </w:pPr>
          </w:p>
        </w:tc>
      </w:tr>
    </w:tbl>
    <w:p>
      <w:pPr>
        <w:spacing w:after="0"/>
        <w:rPr>
          <w:sz w:val="2"/>
          <w:szCs w:val="2"/>
        </w:rPr>
        <w:sectPr>
          <w:pgSz w:w="16840" w:h="11900" w:orient="landscape"/>
          <w:pgMar w:header="0" w:footer="1237" w:top="1100" w:bottom="1420" w:left="1320" w:right="1200"/>
        </w:sectPr>
      </w:pPr>
    </w:p>
    <w:p>
      <w:pPr>
        <w:pStyle w:val="BodyText"/>
        <w:rPr>
          <w:rFonts w:ascii="Times New Roman"/>
          <w:sz w:val="20"/>
        </w:rPr>
      </w:pPr>
    </w:p>
    <w:p>
      <w:pPr>
        <w:pStyle w:val="BodyText"/>
        <w:spacing w:before="5" w:after="1"/>
        <w:rPr>
          <w:rFonts w:ascii="Times New Roman"/>
          <w:sz w:val="22"/>
        </w:rPr>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36"/>
        <w:gridCol w:w="775"/>
        <w:gridCol w:w="1723"/>
        <w:gridCol w:w="5064"/>
        <w:gridCol w:w="3708"/>
        <w:gridCol w:w="994"/>
        <w:gridCol w:w="1167"/>
      </w:tblGrid>
      <w:tr>
        <w:trPr>
          <w:trHeight w:val="663" w:hRule="atLeast"/>
        </w:trPr>
        <w:tc>
          <w:tcPr>
            <w:tcW w:w="636" w:type="dxa"/>
            <w:tcBorders>
              <w:right w:val="single" w:sz="4" w:space="0" w:color="000000"/>
            </w:tcBorders>
          </w:tcPr>
          <w:p>
            <w:pPr>
              <w:pStyle w:val="TableParagraph"/>
              <w:spacing w:line="151" w:lineRule="auto" w:before="19"/>
              <w:ind w:left="210" w:right="192"/>
              <w:rPr>
                <w:rFonts w:ascii="思源黑体 CN Bold" w:eastAsia="思源黑体 CN Bold" w:hint="eastAsia"/>
                <w:b/>
                <w:sz w:val="21"/>
              </w:rPr>
            </w:pPr>
            <w:r>
              <w:rPr>
                <w:rFonts w:ascii="思源黑体 CN Bold" w:eastAsia="思源黑体 CN Bold" w:hint="eastAsia"/>
                <w:b/>
                <w:sz w:val="21"/>
              </w:rPr>
              <w:t>序号</w:t>
            </w:r>
          </w:p>
        </w:tc>
        <w:tc>
          <w:tcPr>
            <w:tcW w:w="775" w:type="dxa"/>
            <w:tcBorders>
              <w:left w:val="single" w:sz="4" w:space="0" w:color="000000"/>
              <w:right w:val="single" w:sz="4" w:space="0" w:color="000000"/>
            </w:tcBorders>
          </w:tcPr>
          <w:p>
            <w:pPr>
              <w:pStyle w:val="TableParagraph"/>
              <w:spacing w:line="151" w:lineRule="auto" w:before="19"/>
              <w:ind w:left="184" w:right="155"/>
              <w:rPr>
                <w:rFonts w:ascii="思源黑体 CN Bold" w:eastAsia="思源黑体 CN Bold" w:hint="eastAsia"/>
                <w:b/>
                <w:sz w:val="21"/>
              </w:rPr>
            </w:pPr>
            <w:r>
              <w:rPr>
                <w:rFonts w:ascii="思源黑体 CN Bold" w:eastAsia="思源黑体 CN Bold" w:hint="eastAsia"/>
                <w:b/>
                <w:sz w:val="21"/>
              </w:rPr>
              <w:t>一级目录</w:t>
            </w:r>
          </w:p>
        </w:tc>
        <w:tc>
          <w:tcPr>
            <w:tcW w:w="1723" w:type="dxa"/>
            <w:tcBorders>
              <w:left w:val="single" w:sz="4" w:space="0" w:color="000000"/>
              <w:right w:val="single" w:sz="4" w:space="0" w:color="000000"/>
            </w:tcBorders>
          </w:tcPr>
          <w:p>
            <w:pPr>
              <w:pStyle w:val="TableParagraph"/>
              <w:spacing w:before="43"/>
              <w:ind w:left="448"/>
              <w:rPr>
                <w:rFonts w:ascii="思源黑体 CN Bold" w:eastAsia="思源黑体 CN Bold" w:hint="eastAsia"/>
                <w:b/>
                <w:sz w:val="21"/>
              </w:rPr>
            </w:pPr>
            <w:r>
              <w:rPr>
                <w:rFonts w:ascii="思源黑体 CN Bold" w:eastAsia="思源黑体 CN Bold" w:hint="eastAsia"/>
                <w:b/>
                <w:sz w:val="21"/>
              </w:rPr>
              <w:t>二级目录</w:t>
            </w:r>
          </w:p>
        </w:tc>
        <w:tc>
          <w:tcPr>
            <w:tcW w:w="5064" w:type="dxa"/>
            <w:tcBorders>
              <w:left w:val="single" w:sz="4" w:space="0" w:color="000000"/>
              <w:right w:val="single" w:sz="4" w:space="0" w:color="000000"/>
            </w:tcBorders>
          </w:tcPr>
          <w:p>
            <w:pPr>
              <w:pStyle w:val="TableParagraph"/>
              <w:spacing w:before="43"/>
              <w:ind w:left="1891" w:right="1862"/>
              <w:jc w:val="center"/>
              <w:rPr>
                <w:rFonts w:ascii="思源黑体 CN Bold" w:eastAsia="思源黑体 CN Bold" w:hint="eastAsia"/>
                <w:b/>
                <w:sz w:val="21"/>
              </w:rPr>
            </w:pPr>
            <w:r>
              <w:rPr>
                <w:rFonts w:ascii="思源黑体 CN Bold" w:eastAsia="思源黑体 CN Bold" w:hint="eastAsia"/>
                <w:b/>
                <w:sz w:val="21"/>
              </w:rPr>
              <w:t>主要应用场景</w:t>
            </w:r>
          </w:p>
        </w:tc>
        <w:tc>
          <w:tcPr>
            <w:tcW w:w="3708" w:type="dxa"/>
            <w:tcBorders>
              <w:left w:val="single" w:sz="4" w:space="0" w:color="000000"/>
              <w:right w:val="single" w:sz="4" w:space="0" w:color="000000"/>
            </w:tcBorders>
          </w:tcPr>
          <w:p>
            <w:pPr>
              <w:pStyle w:val="TableParagraph"/>
              <w:spacing w:before="43"/>
              <w:ind w:left="1231"/>
              <w:rPr>
                <w:rFonts w:ascii="思源黑体 CN Bold" w:eastAsia="思源黑体 CN Bold" w:hint="eastAsia"/>
                <w:b/>
                <w:sz w:val="21"/>
              </w:rPr>
            </w:pPr>
            <w:r>
              <w:rPr>
                <w:rFonts w:ascii="思源黑体 CN Bold" w:eastAsia="思源黑体 CN Bold" w:hint="eastAsia"/>
                <w:b/>
                <w:sz w:val="21"/>
              </w:rPr>
              <w:t>主要功能模块</w:t>
            </w:r>
          </w:p>
        </w:tc>
        <w:tc>
          <w:tcPr>
            <w:tcW w:w="994" w:type="dxa"/>
            <w:tcBorders>
              <w:left w:val="single" w:sz="4" w:space="0" w:color="000000"/>
              <w:right w:val="single" w:sz="4" w:space="0" w:color="000000"/>
            </w:tcBorders>
          </w:tcPr>
          <w:p>
            <w:pPr>
              <w:pStyle w:val="TableParagraph"/>
              <w:spacing w:line="151" w:lineRule="auto" w:before="19"/>
              <w:ind w:left="295" w:right="264"/>
              <w:rPr>
                <w:rFonts w:ascii="思源黑体 CN Bold" w:eastAsia="思源黑体 CN Bold" w:hint="eastAsia"/>
                <w:b/>
                <w:sz w:val="21"/>
              </w:rPr>
            </w:pPr>
            <w:r>
              <w:rPr>
                <w:rFonts w:ascii="思源黑体 CN Bold" w:eastAsia="思源黑体 CN Bold" w:hint="eastAsia"/>
                <w:b/>
                <w:sz w:val="21"/>
              </w:rPr>
              <w:t>奖补上限</w:t>
            </w:r>
          </w:p>
        </w:tc>
        <w:tc>
          <w:tcPr>
            <w:tcW w:w="1167" w:type="dxa"/>
            <w:tcBorders>
              <w:left w:val="single" w:sz="4" w:space="0" w:color="000000"/>
            </w:tcBorders>
          </w:tcPr>
          <w:p>
            <w:pPr>
              <w:pStyle w:val="TableParagraph"/>
              <w:spacing w:before="43"/>
              <w:ind w:left="381"/>
              <w:rPr>
                <w:rFonts w:ascii="思源黑体 CN Bold" w:eastAsia="思源黑体 CN Bold" w:hint="eastAsia"/>
                <w:b/>
                <w:sz w:val="21"/>
              </w:rPr>
            </w:pPr>
            <w:r>
              <w:rPr>
                <w:rFonts w:ascii="思源黑体 CN Bold" w:eastAsia="思源黑体 CN Bold" w:hint="eastAsia"/>
                <w:b/>
                <w:sz w:val="21"/>
              </w:rPr>
              <w:t>备注</w:t>
            </w:r>
          </w:p>
        </w:tc>
      </w:tr>
      <w:tr>
        <w:trPr>
          <w:trHeight w:val="1089" w:hRule="atLeast"/>
        </w:trPr>
        <w:tc>
          <w:tcPr>
            <w:tcW w:w="636" w:type="dxa"/>
            <w:tcBorders>
              <w:bottom w:val="nil"/>
              <w:right w:val="single" w:sz="4" w:space="0" w:color="000000"/>
            </w:tcBorders>
          </w:tcPr>
          <w:p>
            <w:pPr>
              <w:pStyle w:val="TableParagraph"/>
              <w:rPr>
                <w:rFonts w:ascii="Times New Roman"/>
                <w:sz w:val="20"/>
              </w:rPr>
            </w:pPr>
          </w:p>
        </w:tc>
        <w:tc>
          <w:tcPr>
            <w:tcW w:w="775" w:type="dxa"/>
            <w:tcBorders>
              <w:left w:val="single" w:sz="4" w:space="0" w:color="000000"/>
              <w:bottom w:val="nil"/>
              <w:right w:val="single" w:sz="4" w:space="0" w:color="000000"/>
            </w:tcBorders>
          </w:tcPr>
          <w:p>
            <w:pPr>
              <w:pStyle w:val="TableParagraph"/>
              <w:rPr>
                <w:rFonts w:ascii="Times New Roman"/>
                <w:sz w:val="20"/>
              </w:rPr>
            </w:pPr>
          </w:p>
        </w:tc>
        <w:tc>
          <w:tcPr>
            <w:tcW w:w="1723" w:type="dxa"/>
            <w:tcBorders>
              <w:left w:val="single" w:sz="4" w:space="0" w:color="000000"/>
              <w:bottom w:val="nil"/>
              <w:right w:val="single" w:sz="4" w:space="0" w:color="000000"/>
            </w:tcBorders>
          </w:tcPr>
          <w:p>
            <w:pPr>
              <w:pStyle w:val="TableParagraph"/>
              <w:rPr>
                <w:rFonts w:ascii="Times New Roman"/>
                <w:sz w:val="20"/>
              </w:rPr>
            </w:pPr>
          </w:p>
        </w:tc>
        <w:tc>
          <w:tcPr>
            <w:tcW w:w="5064" w:type="dxa"/>
            <w:tcBorders>
              <w:left w:val="single" w:sz="4" w:space="0" w:color="000000"/>
              <w:bottom w:val="nil"/>
              <w:right w:val="single" w:sz="4" w:space="0" w:color="000000"/>
            </w:tcBorders>
          </w:tcPr>
          <w:p>
            <w:pPr>
              <w:pStyle w:val="TableParagraph"/>
              <w:rPr>
                <w:rFonts w:ascii="Times New Roman"/>
                <w:sz w:val="20"/>
              </w:rPr>
            </w:pPr>
          </w:p>
        </w:tc>
        <w:tc>
          <w:tcPr>
            <w:tcW w:w="3708" w:type="dxa"/>
            <w:tcBorders>
              <w:left w:val="single" w:sz="4" w:space="0" w:color="000000"/>
              <w:bottom w:val="nil"/>
              <w:right w:val="single" w:sz="4" w:space="0" w:color="000000"/>
            </w:tcBorders>
          </w:tcPr>
          <w:p>
            <w:pPr>
              <w:pStyle w:val="TableParagraph"/>
              <w:spacing w:line="242" w:lineRule="auto" w:before="3"/>
              <w:ind w:left="117" w:right="83"/>
              <w:jc w:val="both"/>
              <w:rPr>
                <w:sz w:val="21"/>
              </w:rPr>
            </w:pPr>
            <w:r>
              <w:rPr>
                <w:spacing w:val="5"/>
                <w:sz w:val="21"/>
              </w:rPr>
              <w:t>实现对售后工业装备的远程监控和远</w:t>
            </w:r>
            <w:r>
              <w:rPr>
                <w:spacing w:val="-10"/>
                <w:sz w:val="21"/>
              </w:rPr>
              <w:t>程运维，构建工业装备制造商、配件供</w:t>
            </w:r>
            <w:r>
              <w:rPr>
                <w:sz w:val="21"/>
              </w:rPr>
              <w:t>应商、主机代理商</w:t>
            </w:r>
            <w:r>
              <w:rPr>
                <w:rFonts w:ascii="Times New Roman" w:eastAsia="Times New Roman"/>
                <w:spacing w:val="3"/>
                <w:sz w:val="21"/>
              </w:rPr>
              <w:t>/</w:t>
            </w:r>
            <w:r>
              <w:rPr>
                <w:sz w:val="21"/>
              </w:rPr>
              <w:t>渠道商和终端客户</w:t>
            </w:r>
          </w:p>
          <w:p>
            <w:pPr>
              <w:pStyle w:val="TableParagraph"/>
              <w:spacing w:line="251" w:lineRule="exact"/>
              <w:ind w:left="117"/>
              <w:rPr>
                <w:sz w:val="21"/>
              </w:rPr>
            </w:pPr>
            <w:r>
              <w:rPr>
                <w:sz w:val="21"/>
              </w:rPr>
              <w:t>的微生态圈；</w:t>
            </w:r>
          </w:p>
        </w:tc>
        <w:tc>
          <w:tcPr>
            <w:tcW w:w="994" w:type="dxa"/>
            <w:tcBorders>
              <w:left w:val="single" w:sz="4" w:space="0" w:color="000000"/>
              <w:bottom w:val="nil"/>
              <w:right w:val="single" w:sz="4" w:space="0" w:color="000000"/>
            </w:tcBorders>
          </w:tcPr>
          <w:p>
            <w:pPr>
              <w:pStyle w:val="TableParagraph"/>
              <w:rPr>
                <w:rFonts w:ascii="Times New Roman"/>
                <w:sz w:val="20"/>
              </w:rPr>
            </w:pPr>
          </w:p>
        </w:tc>
        <w:tc>
          <w:tcPr>
            <w:tcW w:w="1167" w:type="dxa"/>
            <w:tcBorders>
              <w:left w:val="single" w:sz="4" w:space="0" w:color="000000"/>
              <w:bottom w:val="nil"/>
            </w:tcBorders>
          </w:tcPr>
          <w:p>
            <w:pPr>
              <w:pStyle w:val="TableParagraph"/>
              <w:rPr>
                <w:rFonts w:ascii="Times New Roman"/>
                <w:sz w:val="20"/>
              </w:rPr>
            </w:pPr>
          </w:p>
        </w:tc>
      </w:tr>
      <w:tr>
        <w:trPr>
          <w:trHeight w:val="815" w:hRule="atLeast"/>
        </w:trPr>
        <w:tc>
          <w:tcPr>
            <w:tcW w:w="636" w:type="dxa"/>
            <w:tcBorders>
              <w:top w:val="nil"/>
              <w:bottom w:val="nil"/>
              <w:right w:val="single" w:sz="4" w:space="0" w:color="000000"/>
            </w:tcBorders>
          </w:tcPr>
          <w:p>
            <w:pPr>
              <w:pStyle w:val="TableParagraph"/>
              <w:rPr>
                <w:rFonts w:ascii="Times New Roman"/>
                <w:sz w:val="20"/>
              </w:rPr>
            </w:pPr>
          </w:p>
        </w:tc>
        <w:tc>
          <w:tcPr>
            <w:tcW w:w="775" w:type="dxa"/>
            <w:tcBorders>
              <w:top w:val="nil"/>
              <w:left w:val="single" w:sz="4" w:space="0" w:color="000000"/>
              <w:bottom w:val="nil"/>
              <w:right w:val="single" w:sz="4" w:space="0" w:color="000000"/>
            </w:tcBorders>
          </w:tcPr>
          <w:p>
            <w:pPr>
              <w:pStyle w:val="TableParagraph"/>
              <w:rPr>
                <w:rFonts w:ascii="Times New Roman"/>
                <w:sz w:val="20"/>
              </w:rPr>
            </w:pPr>
          </w:p>
        </w:tc>
        <w:tc>
          <w:tcPr>
            <w:tcW w:w="1723" w:type="dxa"/>
            <w:tcBorders>
              <w:top w:val="nil"/>
              <w:left w:val="single" w:sz="4" w:space="0" w:color="000000"/>
              <w:bottom w:val="nil"/>
              <w:right w:val="single" w:sz="4" w:space="0" w:color="000000"/>
            </w:tcBorders>
          </w:tcPr>
          <w:p>
            <w:pPr>
              <w:pStyle w:val="TableParagraph"/>
              <w:rPr>
                <w:rFonts w:ascii="Times New Roman"/>
                <w:sz w:val="20"/>
              </w:rPr>
            </w:pPr>
          </w:p>
        </w:tc>
        <w:tc>
          <w:tcPr>
            <w:tcW w:w="5064" w:type="dxa"/>
            <w:tcBorders>
              <w:top w:val="nil"/>
              <w:left w:val="single" w:sz="4" w:space="0" w:color="000000"/>
              <w:bottom w:val="nil"/>
              <w:right w:val="single" w:sz="4" w:space="0" w:color="000000"/>
            </w:tcBorders>
          </w:tcPr>
          <w:p>
            <w:pPr>
              <w:pStyle w:val="TableParagraph"/>
              <w:rPr>
                <w:rFonts w:ascii="Times New Roman"/>
                <w:sz w:val="20"/>
              </w:rPr>
            </w:pPr>
          </w:p>
        </w:tc>
        <w:tc>
          <w:tcPr>
            <w:tcW w:w="3708" w:type="dxa"/>
            <w:tcBorders>
              <w:top w:val="nil"/>
              <w:left w:val="single" w:sz="4" w:space="0" w:color="000000"/>
              <w:bottom w:val="nil"/>
              <w:right w:val="single" w:sz="4" w:space="0" w:color="000000"/>
            </w:tcBorders>
          </w:tcPr>
          <w:p>
            <w:pPr>
              <w:pStyle w:val="TableParagraph"/>
              <w:spacing w:line="270" w:lineRule="atLeast" w:before="1"/>
              <w:ind w:left="117" w:right="81"/>
              <w:jc w:val="both"/>
              <w:rPr>
                <w:sz w:val="21"/>
              </w:rPr>
            </w:pPr>
            <w:r>
              <w:rPr>
                <w:spacing w:val="5"/>
                <w:sz w:val="21"/>
              </w:rPr>
              <w:t>自动生成故障告警并可通过邮件、短</w:t>
            </w:r>
            <w:r>
              <w:rPr>
                <w:spacing w:val="-9"/>
                <w:sz w:val="21"/>
              </w:rPr>
              <w:t>信、</w:t>
            </w:r>
            <w:r>
              <w:rPr>
                <w:rFonts w:ascii="Times New Roman" w:eastAsia="Times New Roman"/>
                <w:sz w:val="21"/>
              </w:rPr>
              <w:t>APP</w:t>
            </w:r>
            <w:r>
              <w:rPr>
                <w:spacing w:val="-7"/>
                <w:sz w:val="21"/>
              </w:rPr>
              <w:t>、微信方式及时通知；远程监</w:t>
            </w:r>
            <w:r>
              <w:rPr>
                <w:spacing w:val="-10"/>
                <w:sz w:val="21"/>
              </w:rPr>
              <w:t>控与工作流驱动整个售后服务过程，支</w:t>
            </w:r>
          </w:p>
        </w:tc>
        <w:tc>
          <w:tcPr>
            <w:tcW w:w="994" w:type="dxa"/>
            <w:tcBorders>
              <w:top w:val="nil"/>
              <w:left w:val="single" w:sz="4" w:space="0" w:color="000000"/>
              <w:bottom w:val="nil"/>
              <w:right w:val="single" w:sz="4" w:space="0" w:color="000000"/>
            </w:tcBorders>
          </w:tcPr>
          <w:p>
            <w:pPr>
              <w:pStyle w:val="TableParagraph"/>
              <w:rPr>
                <w:rFonts w:ascii="Times New Roman"/>
                <w:sz w:val="20"/>
              </w:rPr>
            </w:pPr>
          </w:p>
        </w:tc>
        <w:tc>
          <w:tcPr>
            <w:tcW w:w="1167" w:type="dxa"/>
            <w:tcBorders>
              <w:top w:val="nil"/>
              <w:left w:val="single" w:sz="4" w:space="0" w:color="000000"/>
              <w:bottom w:val="nil"/>
            </w:tcBorders>
          </w:tcPr>
          <w:p>
            <w:pPr>
              <w:pStyle w:val="TableParagraph"/>
              <w:rPr>
                <w:rFonts w:ascii="Times New Roman"/>
                <w:sz w:val="20"/>
              </w:rPr>
            </w:pPr>
          </w:p>
        </w:tc>
      </w:tr>
      <w:tr>
        <w:trPr>
          <w:trHeight w:val="2723" w:hRule="atLeast"/>
        </w:trPr>
        <w:tc>
          <w:tcPr>
            <w:tcW w:w="636" w:type="dxa"/>
            <w:tcBorders>
              <w:top w:val="nil"/>
              <w:bottom w:val="nil"/>
              <w:right w:val="single" w:sz="4"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29"/>
              </w:rPr>
            </w:pPr>
          </w:p>
          <w:p>
            <w:pPr>
              <w:pStyle w:val="TableParagraph"/>
              <w:ind w:left="107"/>
              <w:rPr>
                <w:rFonts w:ascii="Times New Roman"/>
                <w:sz w:val="21"/>
              </w:rPr>
            </w:pPr>
            <w:r>
              <w:rPr>
                <w:rFonts w:ascii="Times New Roman"/>
                <w:sz w:val="21"/>
              </w:rPr>
              <w:t>22</w:t>
            </w:r>
          </w:p>
        </w:tc>
        <w:tc>
          <w:tcPr>
            <w:tcW w:w="775" w:type="dxa"/>
            <w:tcBorders>
              <w:top w:val="nil"/>
              <w:left w:val="single" w:sz="4" w:space="0" w:color="000000"/>
              <w:bottom w:val="nil"/>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8"/>
              <w:ind w:left="186" w:right="153"/>
              <w:jc w:val="both"/>
              <w:rPr>
                <w:sz w:val="21"/>
              </w:rPr>
            </w:pPr>
            <w:r>
              <w:rPr>
                <w:sz w:val="21"/>
              </w:rPr>
              <w:t>工业设备服务</w:t>
            </w:r>
          </w:p>
        </w:tc>
        <w:tc>
          <w:tcPr>
            <w:tcW w:w="1723" w:type="dxa"/>
            <w:tcBorders>
              <w:top w:val="nil"/>
              <w:left w:val="single" w:sz="4" w:space="0" w:color="000000"/>
              <w:bottom w:val="nil"/>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3"/>
              </w:rPr>
            </w:pPr>
          </w:p>
          <w:p>
            <w:pPr>
              <w:pStyle w:val="TableParagraph"/>
              <w:spacing w:line="244" w:lineRule="auto"/>
              <w:ind w:left="345" w:right="311" w:firstLine="105"/>
              <w:rPr>
                <w:sz w:val="21"/>
              </w:rPr>
            </w:pPr>
            <w:r>
              <w:rPr>
                <w:sz w:val="21"/>
              </w:rPr>
              <w:t>工业设备后市场服务</w:t>
            </w:r>
          </w:p>
        </w:tc>
        <w:tc>
          <w:tcPr>
            <w:tcW w:w="5064" w:type="dxa"/>
            <w:tcBorders>
              <w:top w:val="nil"/>
              <w:left w:val="single" w:sz="4" w:space="0" w:color="000000"/>
              <w:bottom w:val="nil"/>
              <w:right w:val="single" w:sz="4" w:space="0" w:color="000000"/>
            </w:tcBorders>
          </w:tcPr>
          <w:p>
            <w:pPr>
              <w:pStyle w:val="TableParagraph"/>
              <w:spacing w:line="242" w:lineRule="auto" w:before="139"/>
              <w:ind w:left="117" w:right="83"/>
              <w:jc w:val="both"/>
              <w:rPr>
                <w:sz w:val="21"/>
              </w:rPr>
            </w:pPr>
            <w:r>
              <w:rPr>
                <w:spacing w:val="-3"/>
                <w:sz w:val="21"/>
              </w:rPr>
              <w:t>面向终端工厂对于设备非计划停机或者故障容忍度低等场景，推动工业装备企业服务化转型，有效解决传统被动式售后服务综合成本高、难以精准把握和诊断问题点、售后服务流程不规范不可控回溯性差等，支撑设备全生命周期的专业化管理，实现工业装备售后服务流程化与信息化，提升工业装备后市场业务（</w:t>
            </w:r>
            <w:r>
              <w:rPr>
                <w:sz w:val="21"/>
              </w:rPr>
              <w:t>易</w:t>
            </w:r>
            <w:r>
              <w:rPr>
                <w:spacing w:val="-10"/>
                <w:w w:val="100"/>
                <w:sz w:val="21"/>
              </w:rPr>
              <w:t>损件更换、备件、保养、维修服务等</w:t>
            </w:r>
            <w:r>
              <w:rPr>
                <w:spacing w:val="-109"/>
                <w:w w:val="100"/>
                <w:sz w:val="21"/>
              </w:rPr>
              <w:t>）</w:t>
            </w:r>
            <w:r>
              <w:rPr>
                <w:spacing w:val="-6"/>
                <w:w w:val="100"/>
                <w:sz w:val="21"/>
              </w:rPr>
              <w:t>，为终端用户提</w:t>
            </w:r>
            <w:r>
              <w:rPr>
                <w:spacing w:val="-4"/>
                <w:sz w:val="21"/>
              </w:rPr>
              <w:t>供在线、远程和现场的全方位服务支持，</w:t>
            </w:r>
          </w:p>
        </w:tc>
        <w:tc>
          <w:tcPr>
            <w:tcW w:w="3708" w:type="dxa"/>
            <w:tcBorders>
              <w:top w:val="nil"/>
              <w:left w:val="single" w:sz="4" w:space="0" w:color="000000"/>
              <w:bottom w:val="nil"/>
              <w:right w:val="single" w:sz="4" w:space="0" w:color="000000"/>
            </w:tcBorders>
          </w:tcPr>
          <w:p>
            <w:pPr>
              <w:pStyle w:val="TableParagraph"/>
              <w:spacing w:line="242" w:lineRule="auto" w:before="2"/>
              <w:ind w:left="117" w:right="-29"/>
              <w:rPr>
                <w:sz w:val="21"/>
              </w:rPr>
            </w:pPr>
            <w:r>
              <w:rPr>
                <w:spacing w:val="-8"/>
                <w:sz w:val="21"/>
              </w:rPr>
              <w:t>持三种以上场景下触发与创建工单，可</w:t>
            </w:r>
            <w:r>
              <w:rPr>
                <w:spacing w:val="-12"/>
                <w:sz w:val="21"/>
              </w:rPr>
              <w:t>实现服务工单流转电子化；实施装备全</w:t>
            </w:r>
            <w:r>
              <w:rPr>
                <w:spacing w:val="6"/>
                <w:sz w:val="21"/>
              </w:rPr>
              <w:t>生命周期信息化管理和售后服务关键</w:t>
            </w:r>
            <w:r>
              <w:rPr>
                <w:spacing w:val="-10"/>
                <w:sz w:val="21"/>
              </w:rPr>
              <w:t>环节信息自动归档，管控环节包括需求</w:t>
            </w:r>
            <w:r>
              <w:rPr>
                <w:spacing w:val="-11"/>
                <w:sz w:val="21"/>
              </w:rPr>
              <w:t>受理、制定方案、创建工单、派工、现</w:t>
            </w:r>
            <w:r>
              <w:rPr>
                <w:spacing w:val="-12"/>
                <w:sz w:val="21"/>
              </w:rPr>
              <w:t>场服务、客户回访等，传递和记录结构</w:t>
            </w:r>
            <w:r>
              <w:rPr>
                <w:spacing w:val="-7"/>
                <w:w w:val="100"/>
                <w:sz w:val="21"/>
              </w:rPr>
              <w:t>化数据和非结构化数据</w:t>
            </w:r>
            <w:r>
              <w:rPr>
                <w:spacing w:val="-3"/>
                <w:w w:val="100"/>
                <w:sz w:val="21"/>
              </w:rPr>
              <w:t>（</w:t>
            </w:r>
            <w:r>
              <w:rPr>
                <w:spacing w:val="-10"/>
                <w:w w:val="100"/>
                <w:sz w:val="21"/>
              </w:rPr>
              <w:t>图片、视频</w:t>
            </w:r>
            <w:r>
              <w:rPr>
                <w:spacing w:val="-106"/>
                <w:w w:val="100"/>
                <w:sz w:val="21"/>
              </w:rPr>
              <w:t>）</w:t>
            </w:r>
            <w:r>
              <w:rPr>
                <w:w w:val="100"/>
                <w:sz w:val="21"/>
              </w:rPr>
              <w:t>，</w:t>
            </w:r>
            <w:r>
              <w:rPr>
                <w:spacing w:val="-10"/>
                <w:sz w:val="21"/>
              </w:rPr>
              <w:t>支持多维度数据统计分析，提供行业知</w:t>
            </w:r>
            <w:r>
              <w:rPr>
                <w:spacing w:val="-5"/>
                <w:sz w:val="21"/>
              </w:rPr>
              <w:t>识库和售后服务典型案例库。</w:t>
            </w:r>
          </w:p>
          <w:p>
            <w:pPr>
              <w:pStyle w:val="TableParagraph"/>
              <w:spacing w:line="251" w:lineRule="exact" w:before="5"/>
              <w:ind w:left="117"/>
              <w:rPr>
                <w:sz w:val="21"/>
              </w:rPr>
            </w:pPr>
            <w:r>
              <w:rPr>
                <w:sz w:val="21"/>
              </w:rPr>
              <w:t>选项功能：系统扩展性强，可实现设备</w:t>
            </w:r>
          </w:p>
        </w:tc>
        <w:tc>
          <w:tcPr>
            <w:tcW w:w="994" w:type="dxa"/>
            <w:tcBorders>
              <w:top w:val="nil"/>
              <w:left w:val="single" w:sz="4" w:space="0" w:color="000000"/>
              <w:bottom w:val="nil"/>
              <w:right w:val="single" w:sz="4"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8"/>
              </w:rPr>
            </w:pPr>
          </w:p>
          <w:p>
            <w:pPr>
              <w:pStyle w:val="TableParagraph"/>
              <w:ind w:left="117"/>
              <w:rPr>
                <w:sz w:val="21"/>
              </w:rPr>
            </w:pPr>
            <w:r>
              <w:rPr>
                <w:rFonts w:ascii="Times New Roman" w:eastAsia="Times New Roman"/>
                <w:sz w:val="21"/>
              </w:rPr>
              <w:t>25 </w:t>
            </w:r>
            <w:r>
              <w:rPr>
                <w:sz w:val="21"/>
              </w:rPr>
              <w:t>万元</w:t>
            </w:r>
          </w:p>
        </w:tc>
        <w:tc>
          <w:tcPr>
            <w:tcW w:w="1167" w:type="dxa"/>
            <w:tcBorders>
              <w:top w:val="nil"/>
              <w:left w:val="single" w:sz="4" w:space="0" w:color="000000"/>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8"/>
              <w:ind w:left="117" w:right="74"/>
              <w:jc w:val="both"/>
              <w:rPr>
                <w:sz w:val="21"/>
              </w:rPr>
            </w:pPr>
            <w:r>
              <w:rPr>
                <w:sz w:val="21"/>
              </w:rPr>
              <w:t>每台设备奖补 </w:t>
            </w:r>
            <w:r>
              <w:rPr>
                <w:rFonts w:ascii="Times New Roman" w:eastAsia="Times New Roman"/>
                <w:sz w:val="21"/>
              </w:rPr>
              <w:t>1500 </w:t>
            </w:r>
            <w:r>
              <w:rPr>
                <w:sz w:val="21"/>
              </w:rPr>
              <w:t>元。</w:t>
            </w:r>
          </w:p>
        </w:tc>
      </w:tr>
      <w:tr>
        <w:trPr>
          <w:trHeight w:val="544" w:hRule="atLeast"/>
        </w:trPr>
        <w:tc>
          <w:tcPr>
            <w:tcW w:w="636" w:type="dxa"/>
            <w:tcBorders>
              <w:top w:val="nil"/>
              <w:bottom w:val="nil"/>
              <w:right w:val="single" w:sz="4" w:space="0" w:color="000000"/>
            </w:tcBorders>
          </w:tcPr>
          <w:p>
            <w:pPr>
              <w:pStyle w:val="TableParagraph"/>
              <w:rPr>
                <w:rFonts w:ascii="Times New Roman"/>
                <w:sz w:val="20"/>
              </w:rPr>
            </w:pPr>
          </w:p>
        </w:tc>
        <w:tc>
          <w:tcPr>
            <w:tcW w:w="775" w:type="dxa"/>
            <w:tcBorders>
              <w:top w:val="nil"/>
              <w:left w:val="single" w:sz="4" w:space="0" w:color="000000"/>
              <w:bottom w:val="nil"/>
              <w:right w:val="single" w:sz="4" w:space="0" w:color="000000"/>
            </w:tcBorders>
          </w:tcPr>
          <w:p>
            <w:pPr>
              <w:pStyle w:val="TableParagraph"/>
              <w:rPr>
                <w:rFonts w:ascii="Times New Roman"/>
                <w:sz w:val="20"/>
              </w:rPr>
            </w:pPr>
          </w:p>
        </w:tc>
        <w:tc>
          <w:tcPr>
            <w:tcW w:w="1723" w:type="dxa"/>
            <w:tcBorders>
              <w:top w:val="nil"/>
              <w:left w:val="single" w:sz="4" w:space="0" w:color="000000"/>
              <w:bottom w:val="nil"/>
              <w:right w:val="single" w:sz="4" w:space="0" w:color="000000"/>
            </w:tcBorders>
          </w:tcPr>
          <w:p>
            <w:pPr>
              <w:pStyle w:val="TableParagraph"/>
              <w:rPr>
                <w:rFonts w:ascii="Times New Roman"/>
                <w:sz w:val="20"/>
              </w:rPr>
            </w:pPr>
          </w:p>
        </w:tc>
        <w:tc>
          <w:tcPr>
            <w:tcW w:w="5064" w:type="dxa"/>
            <w:tcBorders>
              <w:top w:val="nil"/>
              <w:left w:val="single" w:sz="4" w:space="0" w:color="000000"/>
              <w:bottom w:val="nil"/>
              <w:right w:val="single" w:sz="4" w:space="0" w:color="000000"/>
            </w:tcBorders>
          </w:tcPr>
          <w:p>
            <w:pPr>
              <w:pStyle w:val="TableParagraph"/>
              <w:rPr>
                <w:rFonts w:ascii="Times New Roman"/>
                <w:sz w:val="20"/>
              </w:rPr>
            </w:pPr>
          </w:p>
        </w:tc>
        <w:tc>
          <w:tcPr>
            <w:tcW w:w="3708" w:type="dxa"/>
            <w:tcBorders>
              <w:top w:val="nil"/>
              <w:left w:val="single" w:sz="4" w:space="0" w:color="000000"/>
              <w:bottom w:val="nil"/>
              <w:right w:val="single" w:sz="4" w:space="0" w:color="000000"/>
            </w:tcBorders>
          </w:tcPr>
          <w:p>
            <w:pPr>
              <w:pStyle w:val="TableParagraph"/>
              <w:spacing w:line="270" w:lineRule="atLeast" w:before="1"/>
              <w:ind w:left="117" w:right="2"/>
              <w:rPr>
                <w:sz w:val="21"/>
              </w:rPr>
            </w:pPr>
            <w:r>
              <w:rPr>
                <w:sz w:val="21"/>
              </w:rPr>
              <w:t>历史数据的可查看、可统计、可分析， 可基于数据挖掘和大数据建模分析，实</w:t>
            </w:r>
          </w:p>
        </w:tc>
        <w:tc>
          <w:tcPr>
            <w:tcW w:w="994" w:type="dxa"/>
            <w:tcBorders>
              <w:top w:val="nil"/>
              <w:left w:val="single" w:sz="4" w:space="0" w:color="000000"/>
              <w:bottom w:val="nil"/>
              <w:right w:val="single" w:sz="4" w:space="0" w:color="000000"/>
            </w:tcBorders>
          </w:tcPr>
          <w:p>
            <w:pPr>
              <w:pStyle w:val="TableParagraph"/>
              <w:rPr>
                <w:rFonts w:ascii="Times New Roman"/>
                <w:sz w:val="20"/>
              </w:rPr>
            </w:pPr>
          </w:p>
        </w:tc>
        <w:tc>
          <w:tcPr>
            <w:tcW w:w="1167" w:type="dxa"/>
            <w:tcBorders>
              <w:top w:val="nil"/>
              <w:left w:val="single" w:sz="4" w:space="0" w:color="000000"/>
              <w:bottom w:val="nil"/>
            </w:tcBorders>
          </w:tcPr>
          <w:p>
            <w:pPr>
              <w:pStyle w:val="TableParagraph"/>
              <w:rPr>
                <w:rFonts w:ascii="Times New Roman"/>
                <w:sz w:val="20"/>
              </w:rPr>
            </w:pPr>
          </w:p>
        </w:tc>
      </w:tr>
      <w:tr>
        <w:trPr>
          <w:trHeight w:val="544" w:hRule="atLeast"/>
        </w:trPr>
        <w:tc>
          <w:tcPr>
            <w:tcW w:w="636" w:type="dxa"/>
            <w:tcBorders>
              <w:top w:val="nil"/>
              <w:bottom w:val="nil"/>
              <w:right w:val="single" w:sz="4" w:space="0" w:color="000000"/>
            </w:tcBorders>
          </w:tcPr>
          <w:p>
            <w:pPr>
              <w:pStyle w:val="TableParagraph"/>
              <w:rPr>
                <w:rFonts w:ascii="Times New Roman"/>
                <w:sz w:val="20"/>
              </w:rPr>
            </w:pPr>
          </w:p>
        </w:tc>
        <w:tc>
          <w:tcPr>
            <w:tcW w:w="775" w:type="dxa"/>
            <w:tcBorders>
              <w:top w:val="nil"/>
              <w:left w:val="single" w:sz="4" w:space="0" w:color="000000"/>
              <w:bottom w:val="nil"/>
              <w:right w:val="single" w:sz="4" w:space="0" w:color="000000"/>
            </w:tcBorders>
          </w:tcPr>
          <w:p>
            <w:pPr>
              <w:pStyle w:val="TableParagraph"/>
              <w:rPr>
                <w:rFonts w:ascii="Times New Roman"/>
                <w:sz w:val="20"/>
              </w:rPr>
            </w:pPr>
          </w:p>
        </w:tc>
        <w:tc>
          <w:tcPr>
            <w:tcW w:w="1723" w:type="dxa"/>
            <w:tcBorders>
              <w:top w:val="nil"/>
              <w:left w:val="single" w:sz="4" w:space="0" w:color="000000"/>
              <w:bottom w:val="nil"/>
              <w:right w:val="single" w:sz="4" w:space="0" w:color="000000"/>
            </w:tcBorders>
          </w:tcPr>
          <w:p>
            <w:pPr>
              <w:pStyle w:val="TableParagraph"/>
              <w:rPr>
                <w:rFonts w:ascii="Times New Roman"/>
                <w:sz w:val="20"/>
              </w:rPr>
            </w:pPr>
          </w:p>
        </w:tc>
        <w:tc>
          <w:tcPr>
            <w:tcW w:w="5064" w:type="dxa"/>
            <w:tcBorders>
              <w:top w:val="nil"/>
              <w:left w:val="single" w:sz="4" w:space="0" w:color="000000"/>
              <w:bottom w:val="nil"/>
              <w:right w:val="single" w:sz="4" w:space="0" w:color="000000"/>
            </w:tcBorders>
          </w:tcPr>
          <w:p>
            <w:pPr>
              <w:pStyle w:val="TableParagraph"/>
              <w:rPr>
                <w:rFonts w:ascii="Times New Roman"/>
                <w:sz w:val="20"/>
              </w:rPr>
            </w:pPr>
          </w:p>
        </w:tc>
        <w:tc>
          <w:tcPr>
            <w:tcW w:w="3708" w:type="dxa"/>
            <w:tcBorders>
              <w:top w:val="nil"/>
              <w:left w:val="single" w:sz="4" w:space="0" w:color="000000"/>
              <w:bottom w:val="nil"/>
              <w:right w:val="single" w:sz="4" w:space="0" w:color="000000"/>
            </w:tcBorders>
          </w:tcPr>
          <w:p>
            <w:pPr>
              <w:pStyle w:val="TableParagraph"/>
              <w:spacing w:line="270" w:lineRule="atLeast" w:before="1"/>
              <w:ind w:left="117" w:right="7"/>
              <w:rPr>
                <w:sz w:val="21"/>
              </w:rPr>
            </w:pPr>
            <w:r>
              <w:rPr>
                <w:sz w:val="21"/>
              </w:rPr>
              <w:t>现故障预测、易损件更换提醒、运维方案智能推荐等；可与电子商务系统、智</w:t>
            </w:r>
          </w:p>
        </w:tc>
        <w:tc>
          <w:tcPr>
            <w:tcW w:w="994" w:type="dxa"/>
            <w:tcBorders>
              <w:top w:val="nil"/>
              <w:left w:val="single" w:sz="4" w:space="0" w:color="000000"/>
              <w:bottom w:val="nil"/>
              <w:right w:val="single" w:sz="4" w:space="0" w:color="000000"/>
            </w:tcBorders>
          </w:tcPr>
          <w:p>
            <w:pPr>
              <w:pStyle w:val="TableParagraph"/>
              <w:rPr>
                <w:rFonts w:ascii="Times New Roman"/>
                <w:sz w:val="20"/>
              </w:rPr>
            </w:pPr>
          </w:p>
        </w:tc>
        <w:tc>
          <w:tcPr>
            <w:tcW w:w="1167" w:type="dxa"/>
            <w:tcBorders>
              <w:top w:val="nil"/>
              <w:left w:val="single" w:sz="4" w:space="0" w:color="000000"/>
              <w:bottom w:val="nil"/>
            </w:tcBorders>
          </w:tcPr>
          <w:p>
            <w:pPr>
              <w:pStyle w:val="TableParagraph"/>
              <w:rPr>
                <w:rFonts w:ascii="Times New Roman"/>
                <w:sz w:val="20"/>
              </w:rPr>
            </w:pPr>
          </w:p>
        </w:tc>
      </w:tr>
      <w:tr>
        <w:trPr>
          <w:trHeight w:val="666" w:hRule="atLeast"/>
        </w:trPr>
        <w:tc>
          <w:tcPr>
            <w:tcW w:w="636" w:type="dxa"/>
            <w:tcBorders>
              <w:top w:val="nil"/>
              <w:bottom w:val="single" w:sz="4" w:space="0" w:color="000000"/>
              <w:right w:val="single" w:sz="4" w:space="0" w:color="000000"/>
            </w:tcBorders>
          </w:tcPr>
          <w:p>
            <w:pPr>
              <w:pStyle w:val="TableParagraph"/>
              <w:rPr>
                <w:rFonts w:ascii="Times New Roman"/>
                <w:sz w:val="20"/>
              </w:rPr>
            </w:pPr>
          </w:p>
        </w:tc>
        <w:tc>
          <w:tcPr>
            <w:tcW w:w="775"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723"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506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3708" w:type="dxa"/>
            <w:tcBorders>
              <w:top w:val="nil"/>
              <w:left w:val="single" w:sz="4" w:space="0" w:color="000000"/>
              <w:bottom w:val="single" w:sz="4" w:space="0" w:color="000000"/>
              <w:right w:val="single" w:sz="4" w:space="0" w:color="000000"/>
            </w:tcBorders>
          </w:tcPr>
          <w:p>
            <w:pPr>
              <w:pStyle w:val="TableParagraph"/>
              <w:spacing w:line="242" w:lineRule="auto" w:before="2"/>
              <w:ind w:left="117" w:right="83"/>
              <w:rPr>
                <w:sz w:val="21"/>
              </w:rPr>
            </w:pPr>
            <w:r>
              <w:rPr>
                <w:sz w:val="21"/>
              </w:rPr>
              <w:t>能制造管控系统无缝集成，可快速识别、购买配件和设备。</w:t>
            </w:r>
          </w:p>
        </w:tc>
        <w:tc>
          <w:tcPr>
            <w:tcW w:w="99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167" w:type="dxa"/>
            <w:tcBorders>
              <w:top w:val="nil"/>
              <w:left w:val="single" w:sz="4" w:space="0" w:color="000000"/>
              <w:bottom w:val="single" w:sz="4" w:space="0" w:color="000000"/>
            </w:tcBorders>
          </w:tcPr>
          <w:p>
            <w:pPr>
              <w:pStyle w:val="TableParagraph"/>
              <w:rPr>
                <w:rFonts w:ascii="Times New Roman"/>
                <w:sz w:val="20"/>
              </w:rPr>
            </w:pPr>
          </w:p>
        </w:tc>
      </w:tr>
    </w:tbl>
    <w:p>
      <w:pPr>
        <w:spacing w:after="0"/>
        <w:rPr>
          <w:rFonts w:ascii="Times New Roman"/>
          <w:sz w:val="20"/>
        </w:rPr>
        <w:sectPr>
          <w:pgSz w:w="16840" w:h="11900" w:orient="landscape"/>
          <w:pgMar w:header="0" w:footer="1237" w:top="1100" w:bottom="1420" w:left="1320" w:right="1200"/>
        </w:sectPr>
      </w:pPr>
    </w:p>
    <w:p>
      <w:pPr>
        <w:pStyle w:val="BodyText"/>
        <w:rPr>
          <w:rFonts w:ascii="Times New Roman"/>
          <w:sz w:val="20"/>
        </w:rPr>
      </w:pPr>
    </w:p>
    <w:p>
      <w:pPr>
        <w:pStyle w:val="BodyText"/>
        <w:spacing w:before="5" w:after="1"/>
        <w:rPr>
          <w:rFonts w:ascii="Times New Roman"/>
          <w:sz w:val="22"/>
        </w:rPr>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36"/>
        <w:gridCol w:w="775"/>
        <w:gridCol w:w="1723"/>
        <w:gridCol w:w="5064"/>
        <w:gridCol w:w="3708"/>
        <w:gridCol w:w="994"/>
        <w:gridCol w:w="1167"/>
      </w:tblGrid>
      <w:tr>
        <w:trPr>
          <w:trHeight w:val="663" w:hRule="atLeast"/>
        </w:trPr>
        <w:tc>
          <w:tcPr>
            <w:tcW w:w="636" w:type="dxa"/>
            <w:tcBorders>
              <w:right w:val="single" w:sz="4" w:space="0" w:color="000000"/>
            </w:tcBorders>
          </w:tcPr>
          <w:p>
            <w:pPr>
              <w:pStyle w:val="TableParagraph"/>
              <w:spacing w:line="151" w:lineRule="auto" w:before="19"/>
              <w:ind w:left="210" w:right="192"/>
              <w:rPr>
                <w:rFonts w:ascii="思源黑体 CN Bold" w:eastAsia="思源黑体 CN Bold" w:hint="eastAsia"/>
                <w:b/>
                <w:sz w:val="21"/>
              </w:rPr>
            </w:pPr>
            <w:r>
              <w:rPr>
                <w:rFonts w:ascii="思源黑体 CN Bold" w:eastAsia="思源黑体 CN Bold" w:hint="eastAsia"/>
                <w:b/>
                <w:sz w:val="21"/>
              </w:rPr>
              <w:t>序号</w:t>
            </w:r>
          </w:p>
        </w:tc>
        <w:tc>
          <w:tcPr>
            <w:tcW w:w="775" w:type="dxa"/>
            <w:tcBorders>
              <w:left w:val="single" w:sz="4" w:space="0" w:color="000000"/>
              <w:right w:val="single" w:sz="4" w:space="0" w:color="000000"/>
            </w:tcBorders>
          </w:tcPr>
          <w:p>
            <w:pPr>
              <w:pStyle w:val="TableParagraph"/>
              <w:spacing w:line="151" w:lineRule="auto" w:before="19"/>
              <w:ind w:left="184" w:right="155"/>
              <w:rPr>
                <w:rFonts w:ascii="思源黑体 CN Bold" w:eastAsia="思源黑体 CN Bold" w:hint="eastAsia"/>
                <w:b/>
                <w:sz w:val="21"/>
              </w:rPr>
            </w:pPr>
            <w:r>
              <w:rPr>
                <w:rFonts w:ascii="思源黑体 CN Bold" w:eastAsia="思源黑体 CN Bold" w:hint="eastAsia"/>
                <w:b/>
                <w:sz w:val="21"/>
              </w:rPr>
              <w:t>一级目录</w:t>
            </w:r>
          </w:p>
        </w:tc>
        <w:tc>
          <w:tcPr>
            <w:tcW w:w="1723" w:type="dxa"/>
            <w:tcBorders>
              <w:left w:val="single" w:sz="4" w:space="0" w:color="000000"/>
              <w:right w:val="single" w:sz="4" w:space="0" w:color="000000"/>
            </w:tcBorders>
          </w:tcPr>
          <w:p>
            <w:pPr>
              <w:pStyle w:val="TableParagraph"/>
              <w:spacing w:before="43"/>
              <w:ind w:left="220" w:right="191"/>
              <w:jc w:val="center"/>
              <w:rPr>
                <w:rFonts w:ascii="思源黑体 CN Bold" w:eastAsia="思源黑体 CN Bold" w:hint="eastAsia"/>
                <w:b/>
                <w:sz w:val="21"/>
              </w:rPr>
            </w:pPr>
            <w:r>
              <w:rPr>
                <w:rFonts w:ascii="思源黑体 CN Bold" w:eastAsia="思源黑体 CN Bold" w:hint="eastAsia"/>
                <w:b/>
                <w:sz w:val="21"/>
              </w:rPr>
              <w:t>二级目录</w:t>
            </w:r>
          </w:p>
        </w:tc>
        <w:tc>
          <w:tcPr>
            <w:tcW w:w="5064" w:type="dxa"/>
            <w:tcBorders>
              <w:left w:val="single" w:sz="4" w:space="0" w:color="000000"/>
              <w:right w:val="single" w:sz="4" w:space="0" w:color="000000"/>
            </w:tcBorders>
          </w:tcPr>
          <w:p>
            <w:pPr>
              <w:pStyle w:val="TableParagraph"/>
              <w:spacing w:before="43"/>
              <w:ind w:left="1891" w:right="1862"/>
              <w:jc w:val="center"/>
              <w:rPr>
                <w:rFonts w:ascii="思源黑体 CN Bold" w:eastAsia="思源黑体 CN Bold" w:hint="eastAsia"/>
                <w:b/>
                <w:sz w:val="21"/>
              </w:rPr>
            </w:pPr>
            <w:r>
              <w:rPr>
                <w:rFonts w:ascii="思源黑体 CN Bold" w:eastAsia="思源黑体 CN Bold" w:hint="eastAsia"/>
                <w:b/>
                <w:sz w:val="21"/>
              </w:rPr>
              <w:t>主要应用场景</w:t>
            </w:r>
          </w:p>
        </w:tc>
        <w:tc>
          <w:tcPr>
            <w:tcW w:w="3708" w:type="dxa"/>
            <w:tcBorders>
              <w:left w:val="single" w:sz="4" w:space="0" w:color="000000"/>
              <w:right w:val="single" w:sz="4" w:space="0" w:color="000000"/>
            </w:tcBorders>
          </w:tcPr>
          <w:p>
            <w:pPr>
              <w:pStyle w:val="TableParagraph"/>
              <w:spacing w:before="43"/>
              <w:ind w:left="1231"/>
              <w:rPr>
                <w:rFonts w:ascii="思源黑体 CN Bold" w:eastAsia="思源黑体 CN Bold" w:hint="eastAsia"/>
                <w:b/>
                <w:sz w:val="21"/>
              </w:rPr>
            </w:pPr>
            <w:r>
              <w:rPr>
                <w:rFonts w:ascii="思源黑体 CN Bold" w:eastAsia="思源黑体 CN Bold" w:hint="eastAsia"/>
                <w:b/>
                <w:sz w:val="21"/>
              </w:rPr>
              <w:t>主要功能模块</w:t>
            </w:r>
          </w:p>
        </w:tc>
        <w:tc>
          <w:tcPr>
            <w:tcW w:w="994" w:type="dxa"/>
            <w:tcBorders>
              <w:left w:val="single" w:sz="4" w:space="0" w:color="000000"/>
              <w:right w:val="single" w:sz="4" w:space="0" w:color="000000"/>
            </w:tcBorders>
          </w:tcPr>
          <w:p>
            <w:pPr>
              <w:pStyle w:val="TableParagraph"/>
              <w:spacing w:line="151" w:lineRule="auto" w:before="19"/>
              <w:ind w:left="295" w:right="264"/>
              <w:rPr>
                <w:rFonts w:ascii="思源黑体 CN Bold" w:eastAsia="思源黑体 CN Bold" w:hint="eastAsia"/>
                <w:b/>
                <w:sz w:val="21"/>
              </w:rPr>
            </w:pPr>
            <w:r>
              <w:rPr>
                <w:rFonts w:ascii="思源黑体 CN Bold" w:eastAsia="思源黑体 CN Bold" w:hint="eastAsia"/>
                <w:b/>
                <w:sz w:val="21"/>
              </w:rPr>
              <w:t>奖补上限</w:t>
            </w:r>
          </w:p>
        </w:tc>
        <w:tc>
          <w:tcPr>
            <w:tcW w:w="1167" w:type="dxa"/>
            <w:tcBorders>
              <w:left w:val="single" w:sz="4" w:space="0" w:color="000000"/>
            </w:tcBorders>
          </w:tcPr>
          <w:p>
            <w:pPr>
              <w:pStyle w:val="TableParagraph"/>
              <w:spacing w:before="43"/>
              <w:ind w:left="381"/>
              <w:rPr>
                <w:rFonts w:ascii="思源黑体 CN Bold" w:eastAsia="思源黑体 CN Bold" w:hint="eastAsia"/>
                <w:b/>
                <w:sz w:val="21"/>
              </w:rPr>
            </w:pPr>
            <w:r>
              <w:rPr>
                <w:rFonts w:ascii="思源黑体 CN Bold" w:eastAsia="思源黑体 CN Bold" w:hint="eastAsia"/>
                <w:b/>
                <w:sz w:val="21"/>
              </w:rPr>
              <w:t>备注</w:t>
            </w:r>
          </w:p>
        </w:tc>
      </w:tr>
      <w:tr>
        <w:trPr>
          <w:trHeight w:val="892" w:hRule="atLeast"/>
        </w:trPr>
        <w:tc>
          <w:tcPr>
            <w:tcW w:w="636" w:type="dxa"/>
            <w:tcBorders>
              <w:bottom w:val="nil"/>
              <w:right w:val="single" w:sz="4" w:space="0" w:color="000000"/>
            </w:tcBorders>
          </w:tcPr>
          <w:p>
            <w:pPr>
              <w:pStyle w:val="TableParagraph"/>
              <w:rPr>
                <w:rFonts w:ascii="Times New Roman"/>
                <w:sz w:val="20"/>
              </w:rPr>
            </w:pPr>
          </w:p>
        </w:tc>
        <w:tc>
          <w:tcPr>
            <w:tcW w:w="775" w:type="dxa"/>
            <w:vMerge w:val="restart"/>
            <w:tcBorders>
              <w:left w:val="single" w:sz="4" w:space="0" w:color="000000"/>
              <w:right w:val="single" w:sz="4" w:space="0" w:color="000000"/>
            </w:tcBorders>
          </w:tcPr>
          <w:p>
            <w:pPr>
              <w:pStyle w:val="TableParagraph"/>
              <w:rPr>
                <w:rFonts w:ascii="Times New Roman"/>
                <w:sz w:val="20"/>
              </w:rPr>
            </w:pPr>
          </w:p>
        </w:tc>
        <w:tc>
          <w:tcPr>
            <w:tcW w:w="1723" w:type="dxa"/>
            <w:tcBorders>
              <w:left w:val="single" w:sz="4" w:space="0" w:color="000000"/>
              <w:bottom w:val="nil"/>
              <w:right w:val="single" w:sz="4" w:space="0" w:color="000000"/>
            </w:tcBorders>
          </w:tcPr>
          <w:p>
            <w:pPr>
              <w:pStyle w:val="TableParagraph"/>
              <w:rPr>
                <w:rFonts w:ascii="Times New Roman"/>
                <w:sz w:val="20"/>
              </w:rPr>
            </w:pPr>
          </w:p>
        </w:tc>
        <w:tc>
          <w:tcPr>
            <w:tcW w:w="5064" w:type="dxa"/>
            <w:tcBorders>
              <w:left w:val="single" w:sz="4" w:space="0" w:color="000000"/>
              <w:bottom w:val="nil"/>
              <w:right w:val="single" w:sz="4" w:space="0" w:color="000000"/>
            </w:tcBorders>
          </w:tcPr>
          <w:p>
            <w:pPr>
              <w:pStyle w:val="TableParagraph"/>
              <w:rPr>
                <w:rFonts w:ascii="Times New Roman"/>
                <w:sz w:val="20"/>
              </w:rPr>
            </w:pPr>
          </w:p>
          <w:p>
            <w:pPr>
              <w:pStyle w:val="TableParagraph"/>
              <w:spacing w:line="270" w:lineRule="atLeast" w:before="134"/>
              <w:ind w:left="117" w:right="83"/>
              <w:rPr>
                <w:sz w:val="21"/>
              </w:rPr>
            </w:pPr>
            <w:r>
              <w:rPr>
                <w:sz w:val="21"/>
              </w:rPr>
              <w:t>为租赁出租人提供租赁设备的使用情况，实时掌握设备的位置、运行状态、健康度、告警信息等租赁过程</w:t>
            </w:r>
          </w:p>
        </w:tc>
        <w:tc>
          <w:tcPr>
            <w:tcW w:w="3708" w:type="dxa"/>
            <w:tcBorders>
              <w:left w:val="single" w:sz="4" w:space="0" w:color="000000"/>
              <w:bottom w:val="nil"/>
              <w:right w:val="single" w:sz="4" w:space="0" w:color="000000"/>
            </w:tcBorders>
          </w:tcPr>
          <w:p>
            <w:pPr>
              <w:pStyle w:val="TableParagraph"/>
              <w:rPr>
                <w:rFonts w:ascii="Times New Roman"/>
                <w:sz w:val="20"/>
              </w:rPr>
            </w:pPr>
          </w:p>
          <w:p>
            <w:pPr>
              <w:pStyle w:val="TableParagraph"/>
              <w:spacing w:line="270" w:lineRule="atLeast" w:before="134"/>
              <w:ind w:left="117" w:right="-29"/>
              <w:rPr>
                <w:sz w:val="21"/>
              </w:rPr>
            </w:pPr>
            <w:r>
              <w:rPr>
                <w:spacing w:val="-3"/>
                <w:sz w:val="21"/>
              </w:rPr>
              <w:t>客户管理、设备定位、租赁合同管理、</w:t>
            </w:r>
            <w:r>
              <w:rPr>
                <w:spacing w:val="-17"/>
                <w:sz w:val="21"/>
              </w:rPr>
              <w:t>回款管理、设备管理</w:t>
            </w:r>
            <w:r>
              <w:rPr>
                <w:sz w:val="21"/>
              </w:rPr>
              <w:t>（</w:t>
            </w:r>
            <w:r>
              <w:rPr>
                <w:spacing w:val="-11"/>
                <w:sz w:val="21"/>
              </w:rPr>
              <w:t>设备维保、巡检、</w:t>
            </w:r>
          </w:p>
        </w:tc>
        <w:tc>
          <w:tcPr>
            <w:tcW w:w="994" w:type="dxa"/>
            <w:tcBorders>
              <w:left w:val="single" w:sz="4" w:space="0" w:color="000000"/>
              <w:bottom w:val="nil"/>
              <w:right w:val="single" w:sz="4" w:space="0" w:color="000000"/>
            </w:tcBorders>
          </w:tcPr>
          <w:p>
            <w:pPr>
              <w:pStyle w:val="TableParagraph"/>
              <w:rPr>
                <w:rFonts w:ascii="Times New Roman"/>
                <w:sz w:val="20"/>
              </w:rPr>
            </w:pPr>
          </w:p>
        </w:tc>
        <w:tc>
          <w:tcPr>
            <w:tcW w:w="1167" w:type="dxa"/>
            <w:tcBorders>
              <w:left w:val="single" w:sz="4" w:space="0" w:color="000000"/>
              <w:bottom w:val="nil"/>
            </w:tcBorders>
          </w:tcPr>
          <w:p>
            <w:pPr>
              <w:pStyle w:val="TableParagraph"/>
              <w:rPr>
                <w:rFonts w:ascii="Times New Roman"/>
                <w:sz w:val="20"/>
              </w:rPr>
            </w:pPr>
          </w:p>
        </w:tc>
      </w:tr>
      <w:tr>
        <w:trPr>
          <w:trHeight w:val="1319" w:hRule="atLeast"/>
        </w:trPr>
        <w:tc>
          <w:tcPr>
            <w:tcW w:w="636" w:type="dxa"/>
            <w:tcBorders>
              <w:top w:val="nil"/>
              <w:bottom w:val="nil"/>
              <w:right w:val="single" w:sz="4" w:space="0" w:color="000000"/>
            </w:tcBorders>
          </w:tcPr>
          <w:p>
            <w:pPr>
              <w:pStyle w:val="TableParagraph"/>
              <w:rPr>
                <w:rFonts w:ascii="Times New Roman"/>
                <w:sz w:val="22"/>
              </w:rPr>
            </w:pPr>
          </w:p>
          <w:p>
            <w:pPr>
              <w:pStyle w:val="TableParagraph"/>
              <w:spacing w:before="10"/>
              <w:rPr>
                <w:rFonts w:ascii="Times New Roman"/>
                <w:sz w:val="23"/>
              </w:rPr>
            </w:pPr>
          </w:p>
          <w:p>
            <w:pPr>
              <w:pStyle w:val="TableParagraph"/>
              <w:ind w:left="107"/>
              <w:rPr>
                <w:rFonts w:ascii="Times New Roman"/>
                <w:sz w:val="21"/>
              </w:rPr>
            </w:pPr>
            <w:r>
              <w:rPr>
                <w:rFonts w:ascii="Times New Roman"/>
                <w:sz w:val="21"/>
              </w:rPr>
              <w:t>23</w:t>
            </w:r>
          </w:p>
        </w:tc>
        <w:tc>
          <w:tcPr>
            <w:tcW w:w="775" w:type="dxa"/>
            <w:vMerge/>
            <w:tcBorders>
              <w:top w:val="nil"/>
              <w:left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spacing w:before="2"/>
              <w:rPr>
                <w:rFonts w:ascii="Times New Roman"/>
                <w:sz w:val="28"/>
              </w:rPr>
            </w:pPr>
          </w:p>
          <w:p>
            <w:pPr>
              <w:pStyle w:val="TableParagraph"/>
              <w:spacing w:line="348" w:lineRule="auto"/>
              <w:ind w:left="451" w:right="417"/>
              <w:rPr>
                <w:sz w:val="21"/>
              </w:rPr>
            </w:pPr>
            <w:r>
              <w:rPr>
                <w:sz w:val="21"/>
              </w:rPr>
              <w:t>工业设备租赁管理</w:t>
            </w:r>
          </w:p>
        </w:tc>
        <w:tc>
          <w:tcPr>
            <w:tcW w:w="5064" w:type="dxa"/>
            <w:tcBorders>
              <w:top w:val="nil"/>
              <w:left w:val="single" w:sz="4" w:space="0" w:color="000000"/>
              <w:bottom w:val="nil"/>
              <w:right w:val="single" w:sz="4" w:space="0" w:color="000000"/>
            </w:tcBorders>
          </w:tcPr>
          <w:p>
            <w:pPr>
              <w:pStyle w:val="TableParagraph"/>
              <w:spacing w:line="245" w:lineRule="exact"/>
              <w:ind w:left="117"/>
              <w:rPr>
                <w:sz w:val="21"/>
              </w:rPr>
            </w:pPr>
            <w:r>
              <w:rPr>
                <w:spacing w:val="-3"/>
                <w:sz w:val="21"/>
              </w:rPr>
              <w:t>中的详细信息，通过数据分析对设备租赁进行精细化</w:t>
            </w:r>
          </w:p>
          <w:p>
            <w:pPr>
              <w:pStyle w:val="TableParagraph"/>
              <w:spacing w:line="242" w:lineRule="auto" w:before="2"/>
              <w:ind w:left="117" w:right="83"/>
              <w:jc w:val="both"/>
              <w:rPr>
                <w:sz w:val="21"/>
              </w:rPr>
            </w:pPr>
            <w:r>
              <w:rPr>
                <w:spacing w:val="-3"/>
                <w:sz w:val="21"/>
              </w:rPr>
              <w:t>管理；通过故障预警、诊断、远程维护等降低租赁设备运维成本，提升设备租赁服务体验，延长设备服役期，提高出租人和承租人收益；通过租赁设备生命周</w:t>
            </w:r>
          </w:p>
          <w:p>
            <w:pPr>
              <w:pStyle w:val="TableParagraph"/>
              <w:spacing w:line="236" w:lineRule="exact" w:before="1"/>
              <w:ind w:left="117"/>
              <w:rPr>
                <w:sz w:val="21"/>
              </w:rPr>
            </w:pPr>
            <w:r>
              <w:rPr>
                <w:spacing w:val="-3"/>
                <w:sz w:val="21"/>
              </w:rPr>
              <w:t>期管理，对设备进行资产管理与残值评估，为租赁设</w:t>
            </w:r>
          </w:p>
        </w:tc>
        <w:tc>
          <w:tcPr>
            <w:tcW w:w="3708" w:type="dxa"/>
            <w:tcBorders>
              <w:top w:val="nil"/>
              <w:left w:val="single" w:sz="4" w:space="0" w:color="000000"/>
              <w:bottom w:val="nil"/>
              <w:right w:val="single" w:sz="4" w:space="0" w:color="000000"/>
            </w:tcBorders>
          </w:tcPr>
          <w:p>
            <w:pPr>
              <w:pStyle w:val="TableParagraph"/>
              <w:spacing w:line="245" w:lineRule="exact"/>
              <w:ind w:left="117"/>
              <w:rPr>
                <w:sz w:val="21"/>
              </w:rPr>
            </w:pPr>
            <w:r>
              <w:rPr>
                <w:sz w:val="21"/>
              </w:rPr>
              <w:t>盘点理等</w:t>
            </w:r>
            <w:r>
              <w:rPr>
                <w:spacing w:val="-104"/>
                <w:sz w:val="21"/>
              </w:rPr>
              <w:t>）</w:t>
            </w:r>
            <w:r>
              <w:rPr>
                <w:sz w:val="21"/>
              </w:rPr>
              <w:t>。租赁市场需求预测，通过</w:t>
            </w:r>
          </w:p>
          <w:p>
            <w:pPr>
              <w:pStyle w:val="TableParagraph"/>
              <w:spacing w:line="242" w:lineRule="auto" w:before="2"/>
              <w:ind w:left="117" w:right="-29"/>
              <w:jc w:val="both"/>
              <w:rPr>
                <w:sz w:val="21"/>
              </w:rPr>
            </w:pPr>
            <w:r>
              <w:rPr>
                <w:spacing w:val="-11"/>
                <w:sz w:val="21"/>
              </w:rPr>
              <w:t>对租赁设备特性、使用情况、客户行为</w:t>
            </w:r>
            <w:r>
              <w:rPr>
                <w:spacing w:val="-12"/>
                <w:sz w:val="21"/>
              </w:rPr>
              <w:t>等信息的收集和分析，辅助企业了解市</w:t>
            </w:r>
            <w:r>
              <w:rPr>
                <w:spacing w:val="-17"/>
                <w:sz w:val="21"/>
              </w:rPr>
              <w:t>场现状、预测市场趋势，按时间、区域、</w:t>
            </w:r>
          </w:p>
          <w:p>
            <w:pPr>
              <w:pStyle w:val="TableParagraph"/>
              <w:spacing w:line="236" w:lineRule="exact" w:before="1"/>
              <w:ind w:left="117"/>
              <w:rPr>
                <w:sz w:val="21"/>
              </w:rPr>
            </w:pPr>
            <w:r>
              <w:rPr>
                <w:sz w:val="21"/>
              </w:rPr>
              <w:t>设备种类针对性的调整租赁策略和铺</w:t>
            </w:r>
          </w:p>
        </w:tc>
        <w:tc>
          <w:tcPr>
            <w:tcW w:w="994" w:type="dxa"/>
            <w:tcBorders>
              <w:top w:val="nil"/>
              <w:left w:val="single" w:sz="4" w:space="0" w:color="000000"/>
              <w:bottom w:val="nil"/>
              <w:right w:val="single" w:sz="4" w:space="0" w:color="000000"/>
            </w:tcBorders>
          </w:tcPr>
          <w:p>
            <w:pPr>
              <w:pStyle w:val="TableParagraph"/>
              <w:rPr>
                <w:rFonts w:ascii="Times New Roman"/>
                <w:sz w:val="22"/>
              </w:rPr>
            </w:pPr>
          </w:p>
          <w:p>
            <w:pPr>
              <w:pStyle w:val="TableParagraph"/>
              <w:spacing w:before="3"/>
              <w:rPr>
                <w:rFonts w:ascii="Times New Roman"/>
                <w:sz w:val="23"/>
              </w:rPr>
            </w:pPr>
          </w:p>
          <w:p>
            <w:pPr>
              <w:pStyle w:val="TableParagraph"/>
              <w:ind w:left="117"/>
              <w:rPr>
                <w:sz w:val="21"/>
              </w:rPr>
            </w:pPr>
            <w:r>
              <w:rPr>
                <w:rFonts w:ascii="Times New Roman" w:eastAsia="Times New Roman"/>
                <w:sz w:val="21"/>
              </w:rPr>
              <w:t>10 </w:t>
            </w:r>
            <w:r>
              <w:rPr>
                <w:sz w:val="21"/>
              </w:rPr>
              <w:t>万元</w:t>
            </w:r>
          </w:p>
        </w:tc>
        <w:tc>
          <w:tcPr>
            <w:tcW w:w="1167" w:type="dxa"/>
            <w:tcBorders>
              <w:top w:val="nil"/>
              <w:left w:val="single" w:sz="4" w:space="0" w:color="000000"/>
              <w:bottom w:val="nil"/>
            </w:tcBorders>
          </w:tcPr>
          <w:p>
            <w:pPr>
              <w:pStyle w:val="TableParagraph"/>
              <w:spacing w:before="5"/>
              <w:rPr>
                <w:rFonts w:ascii="Times New Roman"/>
                <w:sz w:val="21"/>
              </w:rPr>
            </w:pPr>
          </w:p>
          <w:p>
            <w:pPr>
              <w:pStyle w:val="TableParagraph"/>
              <w:spacing w:line="242" w:lineRule="auto" w:before="1"/>
              <w:ind w:left="117" w:right="74"/>
              <w:jc w:val="both"/>
              <w:rPr>
                <w:sz w:val="21"/>
              </w:rPr>
            </w:pPr>
            <w:r>
              <w:rPr>
                <w:sz w:val="21"/>
              </w:rPr>
              <w:t>每台设备奖 补 </w:t>
            </w:r>
            <w:r>
              <w:rPr>
                <w:rFonts w:ascii="Times New Roman" w:eastAsia="Times New Roman"/>
                <w:sz w:val="21"/>
              </w:rPr>
              <w:t>800 </w:t>
            </w:r>
            <w:r>
              <w:rPr>
                <w:sz w:val="21"/>
              </w:rPr>
              <w:t>元。</w:t>
            </w:r>
          </w:p>
        </w:tc>
      </w:tr>
      <w:tr>
        <w:trPr>
          <w:trHeight w:val="1013" w:hRule="atLeast"/>
        </w:trPr>
        <w:tc>
          <w:tcPr>
            <w:tcW w:w="636" w:type="dxa"/>
            <w:tcBorders>
              <w:top w:val="nil"/>
              <w:right w:val="single" w:sz="4" w:space="0" w:color="000000"/>
            </w:tcBorders>
          </w:tcPr>
          <w:p>
            <w:pPr>
              <w:pStyle w:val="TableParagraph"/>
              <w:rPr>
                <w:rFonts w:ascii="Times New Roman"/>
                <w:sz w:val="20"/>
              </w:rPr>
            </w:pPr>
          </w:p>
        </w:tc>
        <w:tc>
          <w:tcPr>
            <w:tcW w:w="775" w:type="dxa"/>
            <w:vMerge/>
            <w:tcBorders>
              <w:top w:val="nil"/>
              <w:left w:val="single" w:sz="4" w:space="0" w:color="000000"/>
              <w:right w:val="single" w:sz="4" w:space="0" w:color="000000"/>
            </w:tcBorders>
          </w:tcPr>
          <w:p>
            <w:pPr>
              <w:rPr>
                <w:sz w:val="2"/>
                <w:szCs w:val="2"/>
              </w:rPr>
            </w:pPr>
          </w:p>
        </w:tc>
        <w:tc>
          <w:tcPr>
            <w:tcW w:w="1723" w:type="dxa"/>
            <w:tcBorders>
              <w:top w:val="nil"/>
              <w:left w:val="single" w:sz="4" w:space="0" w:color="000000"/>
              <w:right w:val="single" w:sz="4" w:space="0" w:color="000000"/>
            </w:tcBorders>
          </w:tcPr>
          <w:p>
            <w:pPr>
              <w:pStyle w:val="TableParagraph"/>
              <w:rPr>
                <w:rFonts w:ascii="Times New Roman"/>
                <w:sz w:val="20"/>
              </w:rPr>
            </w:pPr>
          </w:p>
        </w:tc>
        <w:tc>
          <w:tcPr>
            <w:tcW w:w="5064" w:type="dxa"/>
            <w:tcBorders>
              <w:top w:val="nil"/>
              <w:left w:val="single" w:sz="4" w:space="0" w:color="000000"/>
              <w:right w:val="single" w:sz="4" w:space="0" w:color="000000"/>
            </w:tcBorders>
          </w:tcPr>
          <w:p>
            <w:pPr>
              <w:pStyle w:val="TableParagraph"/>
              <w:spacing w:line="242" w:lineRule="auto"/>
              <w:ind w:left="117" w:right="83"/>
              <w:rPr>
                <w:sz w:val="21"/>
              </w:rPr>
            </w:pPr>
            <w:r>
              <w:rPr>
                <w:sz w:val="21"/>
              </w:rPr>
              <w:t>备进入二手市场交易，提供准确、合理的设备估值， 提高企业资产保值率。</w:t>
            </w:r>
          </w:p>
        </w:tc>
        <w:tc>
          <w:tcPr>
            <w:tcW w:w="3708" w:type="dxa"/>
            <w:tcBorders>
              <w:top w:val="nil"/>
              <w:left w:val="single" w:sz="4" w:space="0" w:color="000000"/>
              <w:right w:val="single" w:sz="4" w:space="0" w:color="000000"/>
            </w:tcBorders>
          </w:tcPr>
          <w:p>
            <w:pPr>
              <w:pStyle w:val="TableParagraph"/>
              <w:spacing w:line="242" w:lineRule="auto"/>
              <w:ind w:left="117" w:right="2"/>
              <w:rPr>
                <w:sz w:val="21"/>
              </w:rPr>
            </w:pPr>
            <w:r>
              <w:rPr>
                <w:sz w:val="21"/>
              </w:rPr>
              <w:t>货策略，聚焦于高附加值的核心业务， 实现高效运营。</w:t>
            </w:r>
          </w:p>
        </w:tc>
        <w:tc>
          <w:tcPr>
            <w:tcW w:w="994" w:type="dxa"/>
            <w:tcBorders>
              <w:top w:val="nil"/>
              <w:left w:val="single" w:sz="4" w:space="0" w:color="000000"/>
              <w:right w:val="single" w:sz="4" w:space="0" w:color="000000"/>
            </w:tcBorders>
          </w:tcPr>
          <w:p>
            <w:pPr>
              <w:pStyle w:val="TableParagraph"/>
              <w:rPr>
                <w:rFonts w:ascii="Times New Roman"/>
                <w:sz w:val="20"/>
              </w:rPr>
            </w:pPr>
          </w:p>
        </w:tc>
        <w:tc>
          <w:tcPr>
            <w:tcW w:w="1167" w:type="dxa"/>
            <w:tcBorders>
              <w:top w:val="nil"/>
              <w:left w:val="single" w:sz="4" w:space="0" w:color="000000"/>
            </w:tcBorders>
          </w:tcPr>
          <w:p>
            <w:pPr>
              <w:pStyle w:val="TableParagraph"/>
              <w:rPr>
                <w:rFonts w:ascii="Times New Roman"/>
                <w:sz w:val="20"/>
              </w:rPr>
            </w:pPr>
          </w:p>
        </w:tc>
      </w:tr>
      <w:tr>
        <w:trPr>
          <w:trHeight w:val="816" w:hRule="atLeast"/>
        </w:trPr>
        <w:tc>
          <w:tcPr>
            <w:tcW w:w="636" w:type="dxa"/>
            <w:tcBorders>
              <w:bottom w:val="nil"/>
              <w:right w:val="single" w:sz="4" w:space="0" w:color="000000"/>
            </w:tcBorders>
          </w:tcPr>
          <w:p>
            <w:pPr>
              <w:pStyle w:val="TableParagraph"/>
              <w:rPr>
                <w:rFonts w:ascii="Times New Roman"/>
                <w:sz w:val="20"/>
              </w:rPr>
            </w:pPr>
          </w:p>
        </w:tc>
        <w:tc>
          <w:tcPr>
            <w:tcW w:w="775" w:type="dxa"/>
            <w:tcBorders>
              <w:left w:val="single" w:sz="4" w:space="0" w:color="000000"/>
              <w:bottom w:val="nil"/>
              <w:right w:val="single" w:sz="4" w:space="0" w:color="000000"/>
            </w:tcBorders>
          </w:tcPr>
          <w:p>
            <w:pPr>
              <w:pStyle w:val="TableParagraph"/>
              <w:rPr>
                <w:rFonts w:ascii="Times New Roman"/>
                <w:sz w:val="20"/>
              </w:rPr>
            </w:pPr>
          </w:p>
        </w:tc>
        <w:tc>
          <w:tcPr>
            <w:tcW w:w="1723" w:type="dxa"/>
            <w:tcBorders>
              <w:left w:val="single" w:sz="4" w:space="0" w:color="000000"/>
              <w:bottom w:val="nil"/>
              <w:right w:val="single" w:sz="4" w:space="0" w:color="000000"/>
            </w:tcBorders>
          </w:tcPr>
          <w:p>
            <w:pPr>
              <w:pStyle w:val="TableParagraph"/>
              <w:rPr>
                <w:rFonts w:ascii="Times New Roman"/>
                <w:sz w:val="20"/>
              </w:rPr>
            </w:pPr>
          </w:p>
        </w:tc>
        <w:tc>
          <w:tcPr>
            <w:tcW w:w="5064" w:type="dxa"/>
            <w:tcBorders>
              <w:left w:val="single" w:sz="4" w:space="0" w:color="000000"/>
              <w:bottom w:val="nil"/>
              <w:right w:val="single" w:sz="4" w:space="0" w:color="000000"/>
            </w:tcBorders>
          </w:tcPr>
          <w:p>
            <w:pPr>
              <w:pStyle w:val="TableParagraph"/>
              <w:rPr>
                <w:rFonts w:ascii="Times New Roman"/>
                <w:sz w:val="20"/>
              </w:rPr>
            </w:pPr>
          </w:p>
        </w:tc>
        <w:tc>
          <w:tcPr>
            <w:tcW w:w="3708" w:type="dxa"/>
            <w:tcBorders>
              <w:left w:val="single" w:sz="4" w:space="0" w:color="000000"/>
              <w:bottom w:val="nil"/>
              <w:right w:val="single" w:sz="4" w:space="0" w:color="000000"/>
            </w:tcBorders>
          </w:tcPr>
          <w:p>
            <w:pPr>
              <w:pStyle w:val="TableParagraph"/>
              <w:ind w:left="117" w:right="-29"/>
              <w:rPr>
                <w:sz w:val="21"/>
              </w:rPr>
            </w:pPr>
            <w:r>
              <w:rPr>
                <w:spacing w:val="-11"/>
                <w:sz w:val="21"/>
              </w:rPr>
              <w:t>设备物联 </w:t>
            </w:r>
            <w:r>
              <w:rPr>
                <w:rFonts w:ascii="Times New Roman" w:eastAsia="Times New Roman"/>
                <w:sz w:val="21"/>
              </w:rPr>
              <w:t>IoT</w:t>
            </w:r>
            <w:r>
              <w:rPr>
                <w:rFonts w:ascii="Times New Roman" w:eastAsia="Times New Roman"/>
                <w:spacing w:val="-2"/>
                <w:sz w:val="21"/>
              </w:rPr>
              <w:t> </w:t>
            </w:r>
            <w:r>
              <w:rPr>
                <w:rFonts w:ascii="Times New Roman" w:eastAsia="Times New Roman"/>
                <w:sz w:val="21"/>
              </w:rPr>
              <w:t>Hub</w:t>
            </w:r>
            <w:r>
              <w:rPr>
                <w:spacing w:val="-3"/>
                <w:sz w:val="21"/>
              </w:rPr>
              <w:t>，物模型配置管理，</w:t>
            </w:r>
          </w:p>
          <w:p>
            <w:pPr>
              <w:pStyle w:val="TableParagraph"/>
              <w:spacing w:line="270" w:lineRule="atLeast" w:before="4"/>
              <w:ind w:left="117" w:right="-29" w:hanging="1"/>
              <w:rPr>
                <w:sz w:val="21"/>
              </w:rPr>
            </w:pPr>
            <w:r>
              <w:rPr>
                <w:spacing w:val="-20"/>
                <w:w w:val="100"/>
                <w:sz w:val="21"/>
              </w:rPr>
              <w:t>规则引擎；物联网关管理，</w:t>
            </w:r>
            <w:r>
              <w:rPr>
                <w:rFonts w:ascii="Times New Roman" w:eastAsia="Times New Roman"/>
                <w:spacing w:val="-3"/>
                <w:w w:val="100"/>
                <w:sz w:val="21"/>
              </w:rPr>
              <w:t>S</w:t>
            </w:r>
            <w:r>
              <w:rPr>
                <w:rFonts w:ascii="Times New Roman" w:eastAsia="Times New Roman"/>
                <w:spacing w:val="-4"/>
                <w:w w:val="100"/>
                <w:sz w:val="21"/>
              </w:rPr>
              <w:t>I</w:t>
            </w:r>
            <w:r>
              <w:rPr>
                <w:rFonts w:ascii="Times New Roman" w:eastAsia="Times New Roman"/>
                <w:w w:val="100"/>
                <w:sz w:val="21"/>
              </w:rPr>
              <w:t>M</w:t>
            </w:r>
            <w:r>
              <w:rPr>
                <w:rFonts w:ascii="Times New Roman" w:eastAsia="Times New Roman"/>
                <w:spacing w:val="-1"/>
                <w:sz w:val="21"/>
              </w:rPr>
              <w:t> </w:t>
            </w:r>
            <w:r>
              <w:rPr>
                <w:spacing w:val="-1"/>
                <w:w w:val="100"/>
                <w:sz w:val="21"/>
              </w:rPr>
              <w:t>卡管理，</w:t>
            </w:r>
            <w:r>
              <w:rPr>
                <w:spacing w:val="-11"/>
                <w:sz w:val="21"/>
              </w:rPr>
              <w:t>租户管理，设备接入管理；设备可视化</w:t>
            </w:r>
          </w:p>
        </w:tc>
        <w:tc>
          <w:tcPr>
            <w:tcW w:w="994" w:type="dxa"/>
            <w:tcBorders>
              <w:left w:val="single" w:sz="4" w:space="0" w:color="000000"/>
              <w:bottom w:val="nil"/>
              <w:right w:val="single" w:sz="4" w:space="0" w:color="000000"/>
            </w:tcBorders>
          </w:tcPr>
          <w:p>
            <w:pPr>
              <w:pStyle w:val="TableParagraph"/>
              <w:rPr>
                <w:rFonts w:ascii="Times New Roman"/>
                <w:sz w:val="20"/>
              </w:rPr>
            </w:pPr>
          </w:p>
        </w:tc>
        <w:tc>
          <w:tcPr>
            <w:tcW w:w="1167" w:type="dxa"/>
            <w:tcBorders>
              <w:left w:val="single" w:sz="4" w:space="0" w:color="000000"/>
              <w:bottom w:val="nil"/>
            </w:tcBorders>
          </w:tcPr>
          <w:p>
            <w:pPr>
              <w:pStyle w:val="TableParagraph"/>
              <w:ind w:left="117"/>
              <w:rPr>
                <w:sz w:val="21"/>
              </w:rPr>
            </w:pPr>
            <w:r>
              <w:rPr>
                <w:spacing w:val="26"/>
                <w:sz w:val="21"/>
              </w:rPr>
              <w:t>不强制要</w:t>
            </w:r>
          </w:p>
          <w:p>
            <w:pPr>
              <w:pStyle w:val="TableParagraph"/>
              <w:spacing w:line="270" w:lineRule="atLeast" w:before="4"/>
              <w:ind w:left="117" w:right="74"/>
              <w:rPr>
                <w:sz w:val="21"/>
              </w:rPr>
            </w:pPr>
            <w:r>
              <w:rPr>
                <w:spacing w:val="22"/>
                <w:sz w:val="21"/>
              </w:rPr>
              <w:t>求包含全部功能模</w:t>
            </w:r>
          </w:p>
        </w:tc>
      </w:tr>
      <w:tr>
        <w:trPr>
          <w:trHeight w:val="1127" w:hRule="atLeast"/>
        </w:trPr>
        <w:tc>
          <w:tcPr>
            <w:tcW w:w="636" w:type="dxa"/>
            <w:tcBorders>
              <w:top w:val="nil"/>
              <w:bottom w:val="nil"/>
              <w:right w:val="single" w:sz="4" w:space="0" w:color="000000"/>
            </w:tcBorders>
          </w:tcPr>
          <w:p>
            <w:pPr>
              <w:pStyle w:val="TableParagraph"/>
              <w:rPr>
                <w:rFonts w:ascii="Times New Roman"/>
                <w:sz w:val="20"/>
              </w:rPr>
            </w:pPr>
          </w:p>
        </w:tc>
        <w:tc>
          <w:tcPr>
            <w:tcW w:w="775" w:type="dxa"/>
            <w:tcBorders>
              <w:top w:val="nil"/>
              <w:left w:val="single" w:sz="4" w:space="0" w:color="000000"/>
              <w:bottom w:val="nil"/>
              <w:right w:val="single" w:sz="4" w:space="0" w:color="000000"/>
            </w:tcBorders>
          </w:tcPr>
          <w:p>
            <w:pPr>
              <w:pStyle w:val="TableParagraph"/>
              <w:rPr>
                <w:rFonts w:ascii="Times New Roman"/>
                <w:sz w:val="20"/>
              </w:rPr>
            </w:pPr>
          </w:p>
        </w:tc>
        <w:tc>
          <w:tcPr>
            <w:tcW w:w="1723" w:type="dxa"/>
            <w:tcBorders>
              <w:top w:val="nil"/>
              <w:left w:val="single" w:sz="4" w:space="0" w:color="000000"/>
              <w:bottom w:val="nil"/>
              <w:right w:val="single" w:sz="4" w:space="0" w:color="000000"/>
            </w:tcBorders>
          </w:tcPr>
          <w:p>
            <w:pPr>
              <w:pStyle w:val="TableParagraph"/>
              <w:rPr>
                <w:rFonts w:ascii="Times New Roman"/>
                <w:sz w:val="20"/>
              </w:rPr>
            </w:pPr>
          </w:p>
        </w:tc>
        <w:tc>
          <w:tcPr>
            <w:tcW w:w="5064" w:type="dxa"/>
            <w:tcBorders>
              <w:top w:val="nil"/>
              <w:left w:val="single" w:sz="4" w:space="0" w:color="000000"/>
              <w:bottom w:val="nil"/>
              <w:right w:val="single" w:sz="4" w:space="0" w:color="000000"/>
            </w:tcBorders>
          </w:tcPr>
          <w:p>
            <w:pPr>
              <w:pStyle w:val="TableParagraph"/>
              <w:spacing w:line="242" w:lineRule="auto" w:before="79"/>
              <w:ind w:left="117" w:right="83"/>
              <w:jc w:val="both"/>
              <w:rPr>
                <w:sz w:val="21"/>
              </w:rPr>
            </w:pPr>
            <w:r>
              <w:rPr>
                <w:spacing w:val="-3"/>
                <w:sz w:val="21"/>
              </w:rPr>
              <w:t>面向工厂用户，提供通过统一的系统平台、统一门户</w:t>
            </w:r>
            <w:r>
              <w:rPr>
                <w:spacing w:val="-8"/>
                <w:sz w:val="21"/>
              </w:rPr>
              <w:t>入口、统一权限管理和统一的数据模型服务</w:t>
            </w:r>
            <w:r>
              <w:rPr>
                <w:rFonts w:ascii="Times New Roman" w:eastAsia="Times New Roman"/>
                <w:spacing w:val="-3"/>
                <w:sz w:val="21"/>
              </w:rPr>
              <w:t>,</w:t>
            </w:r>
            <w:r>
              <w:rPr>
                <w:spacing w:val="-3"/>
                <w:sz w:val="21"/>
              </w:rPr>
              <w:t>通过开放架构来集成制造企业从产品研发、生产、销售、物流</w:t>
            </w:r>
          </w:p>
          <w:p>
            <w:pPr>
              <w:pStyle w:val="TableParagraph"/>
              <w:spacing w:line="213" w:lineRule="exact" w:before="1"/>
              <w:ind w:left="117"/>
              <w:rPr>
                <w:sz w:val="21"/>
              </w:rPr>
            </w:pPr>
            <w:r>
              <w:rPr>
                <w:spacing w:val="-3"/>
                <w:sz w:val="21"/>
              </w:rPr>
              <w:t>到售后整个价值链过程中需要的所有应用服务。具备</w:t>
            </w:r>
          </w:p>
        </w:tc>
        <w:tc>
          <w:tcPr>
            <w:tcW w:w="3708" w:type="dxa"/>
            <w:tcBorders>
              <w:top w:val="nil"/>
              <w:left w:val="single" w:sz="4" w:space="0" w:color="000000"/>
              <w:bottom w:val="nil"/>
              <w:right w:val="single" w:sz="4" w:space="0" w:color="000000"/>
            </w:tcBorders>
          </w:tcPr>
          <w:p>
            <w:pPr>
              <w:pStyle w:val="TableParagraph"/>
              <w:spacing w:line="242" w:lineRule="auto" w:before="2"/>
              <w:ind w:left="117" w:right="81"/>
              <w:jc w:val="both"/>
              <w:rPr>
                <w:sz w:val="21"/>
              </w:rPr>
            </w:pPr>
            <w:r>
              <w:rPr>
                <w:spacing w:val="-9"/>
                <w:sz w:val="21"/>
              </w:rPr>
              <w:t>云组态组件与数据分析工具；具备移动</w:t>
            </w:r>
            <w:r>
              <w:rPr>
                <w:rFonts w:ascii="Times New Roman" w:eastAsia="Times New Roman"/>
                <w:spacing w:val="-9"/>
                <w:sz w:val="21"/>
              </w:rPr>
              <w:t>APP </w:t>
            </w:r>
            <w:r>
              <w:rPr>
                <w:spacing w:val="-11"/>
                <w:sz w:val="21"/>
              </w:rPr>
              <w:t>的应用开发工具。支持工厂运营中</w:t>
            </w:r>
            <w:r>
              <w:rPr>
                <w:spacing w:val="2"/>
                <w:sz w:val="21"/>
              </w:rPr>
              <w:t>心建设能力</w:t>
            </w:r>
            <w:r>
              <w:rPr>
                <w:rFonts w:ascii="Times New Roman" w:eastAsia="Times New Roman"/>
                <w:sz w:val="21"/>
              </w:rPr>
              <w:t>,</w:t>
            </w:r>
            <w:r>
              <w:rPr>
                <w:sz w:val="21"/>
              </w:rPr>
              <w:t>可设置的安全规则或者安</w:t>
            </w:r>
            <w:r>
              <w:rPr>
                <w:spacing w:val="-11"/>
                <w:sz w:val="21"/>
              </w:rPr>
              <w:t>全策略，控制企业人员可以访问而且只</w:t>
            </w:r>
          </w:p>
        </w:tc>
        <w:tc>
          <w:tcPr>
            <w:tcW w:w="994" w:type="dxa"/>
            <w:tcBorders>
              <w:top w:val="nil"/>
              <w:left w:val="single" w:sz="4" w:space="0" w:color="000000"/>
              <w:bottom w:val="nil"/>
              <w:right w:val="single" w:sz="4" w:space="0" w:color="000000"/>
            </w:tcBorders>
          </w:tcPr>
          <w:p>
            <w:pPr>
              <w:pStyle w:val="TableParagraph"/>
              <w:rPr>
                <w:rFonts w:ascii="Times New Roman"/>
                <w:sz w:val="20"/>
              </w:rPr>
            </w:pPr>
          </w:p>
        </w:tc>
        <w:tc>
          <w:tcPr>
            <w:tcW w:w="1167" w:type="dxa"/>
            <w:tcBorders>
              <w:top w:val="nil"/>
              <w:left w:val="single" w:sz="4" w:space="0" w:color="000000"/>
              <w:bottom w:val="nil"/>
            </w:tcBorders>
          </w:tcPr>
          <w:p>
            <w:pPr>
              <w:pStyle w:val="TableParagraph"/>
              <w:spacing w:line="242" w:lineRule="auto" w:before="2"/>
              <w:ind w:left="117" w:right="74"/>
              <w:jc w:val="both"/>
              <w:rPr>
                <w:sz w:val="21"/>
              </w:rPr>
            </w:pPr>
            <w:r>
              <w:rPr>
                <w:spacing w:val="-25"/>
                <w:sz w:val="21"/>
              </w:rPr>
              <w:t>块，实现帮</w:t>
            </w:r>
            <w:r>
              <w:rPr>
                <w:spacing w:val="22"/>
                <w:sz w:val="21"/>
              </w:rPr>
              <w:t>助工业企业建立数字化转型</w:t>
            </w:r>
          </w:p>
        </w:tc>
      </w:tr>
      <w:tr>
        <w:trPr>
          <w:trHeight w:val="2140" w:hRule="atLeast"/>
        </w:trPr>
        <w:tc>
          <w:tcPr>
            <w:tcW w:w="636" w:type="dxa"/>
            <w:tcBorders>
              <w:top w:val="nil"/>
              <w:bottom w:val="nil"/>
              <w:right w:val="single" w:sz="4" w:space="0" w:color="000000"/>
            </w:tcBorders>
          </w:tcPr>
          <w:p>
            <w:pPr>
              <w:pStyle w:val="TableParagraph"/>
              <w:spacing w:before="184"/>
              <w:ind w:left="107"/>
              <w:rPr>
                <w:rFonts w:ascii="Times New Roman"/>
                <w:sz w:val="21"/>
              </w:rPr>
            </w:pPr>
            <w:r>
              <w:rPr>
                <w:rFonts w:ascii="Times New Roman"/>
                <w:sz w:val="21"/>
              </w:rPr>
              <w:t>24</w:t>
            </w:r>
          </w:p>
        </w:tc>
        <w:tc>
          <w:tcPr>
            <w:tcW w:w="775" w:type="dxa"/>
            <w:tcBorders>
              <w:top w:val="nil"/>
              <w:left w:val="single" w:sz="4" w:space="0" w:color="000000"/>
              <w:bottom w:val="nil"/>
              <w:right w:val="single" w:sz="4" w:space="0" w:color="000000"/>
            </w:tcBorders>
          </w:tcPr>
          <w:p>
            <w:pPr>
              <w:pStyle w:val="TableParagraph"/>
              <w:spacing w:line="242" w:lineRule="auto" w:before="41"/>
              <w:ind w:left="186" w:right="153"/>
              <w:rPr>
                <w:sz w:val="21"/>
              </w:rPr>
            </w:pPr>
            <w:r>
              <w:rPr>
                <w:sz w:val="21"/>
              </w:rPr>
              <w:t>中台集成</w:t>
            </w:r>
          </w:p>
        </w:tc>
        <w:tc>
          <w:tcPr>
            <w:tcW w:w="1723" w:type="dxa"/>
            <w:tcBorders>
              <w:top w:val="nil"/>
              <w:left w:val="single" w:sz="4" w:space="0" w:color="000000"/>
              <w:bottom w:val="nil"/>
              <w:right w:val="single" w:sz="4" w:space="0" w:color="000000"/>
            </w:tcBorders>
          </w:tcPr>
          <w:p>
            <w:pPr>
              <w:pStyle w:val="TableParagraph"/>
              <w:spacing w:before="175"/>
              <w:ind w:left="221" w:right="190"/>
              <w:jc w:val="center"/>
              <w:rPr>
                <w:sz w:val="21"/>
              </w:rPr>
            </w:pPr>
            <w:r>
              <w:rPr>
                <w:sz w:val="21"/>
              </w:rPr>
              <w:t>智造中台</w:t>
            </w:r>
          </w:p>
        </w:tc>
        <w:tc>
          <w:tcPr>
            <w:tcW w:w="5064" w:type="dxa"/>
            <w:tcBorders>
              <w:top w:val="nil"/>
              <w:left w:val="single" w:sz="4" w:space="0" w:color="000000"/>
              <w:bottom w:val="nil"/>
              <w:right w:val="single" w:sz="4" w:space="0" w:color="000000"/>
            </w:tcBorders>
          </w:tcPr>
          <w:p>
            <w:pPr>
              <w:pStyle w:val="TableParagraph"/>
              <w:spacing w:line="242" w:lineRule="auto" w:before="41"/>
              <w:ind w:left="117" w:right="83"/>
              <w:jc w:val="both"/>
              <w:rPr>
                <w:sz w:val="21"/>
              </w:rPr>
            </w:pPr>
            <w:r>
              <w:rPr>
                <w:spacing w:val="-3"/>
                <w:sz w:val="21"/>
              </w:rPr>
              <w:t>工业互联网平台的基础技术能力输出，具备开丰富的数据服务接口和应用开发工具，提供边缘侧系统与第</w:t>
            </w:r>
            <w:r>
              <w:rPr>
                <w:spacing w:val="-18"/>
                <w:sz w:val="21"/>
              </w:rPr>
              <w:t>三方 </w:t>
            </w:r>
            <w:r>
              <w:rPr>
                <w:rFonts w:ascii="Times New Roman" w:eastAsia="Times New Roman"/>
                <w:sz w:val="21"/>
              </w:rPr>
              <w:t>SaaS </w:t>
            </w:r>
            <w:r>
              <w:rPr>
                <w:spacing w:val="-11"/>
                <w:sz w:val="21"/>
              </w:rPr>
              <w:t>系统的集成能力。服务商可在平台基础上进</w:t>
            </w:r>
            <w:r>
              <w:rPr>
                <w:spacing w:val="-3"/>
                <w:sz w:val="21"/>
              </w:rPr>
              <w:t>行二次开发、托管、部署、运维，企业用户可通过数据服务接入平台快速实现稳定可靠的工厂数字化运营管理。</w:t>
            </w:r>
          </w:p>
        </w:tc>
        <w:tc>
          <w:tcPr>
            <w:tcW w:w="3708" w:type="dxa"/>
            <w:tcBorders>
              <w:top w:val="nil"/>
              <w:left w:val="single" w:sz="4" w:space="0" w:color="000000"/>
              <w:bottom w:val="nil"/>
              <w:right w:val="single" w:sz="4" w:space="0" w:color="000000"/>
            </w:tcBorders>
          </w:tcPr>
          <w:p>
            <w:pPr>
              <w:pStyle w:val="TableParagraph"/>
              <w:spacing w:line="233" w:lineRule="exact"/>
              <w:ind w:left="117"/>
              <w:rPr>
                <w:sz w:val="21"/>
              </w:rPr>
            </w:pPr>
            <w:r>
              <w:rPr>
                <w:spacing w:val="-9"/>
                <w:sz w:val="21"/>
              </w:rPr>
              <w:t>能访问自己被授权的功能和页面；提供</w:t>
            </w:r>
          </w:p>
          <w:p>
            <w:pPr>
              <w:pStyle w:val="TableParagraph"/>
              <w:spacing w:line="242" w:lineRule="auto" w:before="2"/>
              <w:ind w:left="117" w:right="81"/>
              <w:jc w:val="both"/>
              <w:rPr>
                <w:rFonts w:ascii="Times New Roman" w:eastAsia="Times New Roman"/>
                <w:sz w:val="21"/>
              </w:rPr>
            </w:pPr>
            <w:r>
              <w:rPr>
                <w:spacing w:val="-11"/>
                <w:sz w:val="21"/>
              </w:rPr>
              <w:t>组织定义、账号定义、角色授权等基础</w:t>
            </w:r>
            <w:r>
              <w:rPr>
                <w:spacing w:val="-12"/>
                <w:sz w:val="21"/>
              </w:rPr>
              <w:t>配置管理功能。通过数据中台汇总各类</w:t>
            </w:r>
            <w:r>
              <w:rPr>
                <w:rFonts w:ascii="Times New Roman" w:eastAsia="Times New Roman"/>
                <w:spacing w:val="-12"/>
                <w:sz w:val="21"/>
              </w:rPr>
              <w:t>SaaS</w:t>
            </w:r>
            <w:r>
              <w:rPr>
                <w:rFonts w:ascii="Times New Roman" w:eastAsia="Times New Roman"/>
                <w:spacing w:val="15"/>
                <w:sz w:val="21"/>
              </w:rPr>
              <w:t> </w:t>
            </w:r>
            <w:r>
              <w:rPr>
                <w:sz w:val="21"/>
              </w:rPr>
              <w:t>应用数据，构建以资产为中心的</w:t>
            </w:r>
            <w:r>
              <w:rPr>
                <w:spacing w:val="-11"/>
                <w:sz w:val="21"/>
              </w:rPr>
              <w:t>统一属性、编码、维护、安全、组织等方面的数据标准，不同应用通过统一的</w:t>
            </w:r>
            <w:r>
              <w:rPr>
                <w:rFonts w:ascii="Times New Roman" w:eastAsia="Times New Roman"/>
                <w:spacing w:val="-11"/>
                <w:sz w:val="21"/>
              </w:rPr>
              <w:t>API</w:t>
            </w:r>
            <w:r>
              <w:rPr>
                <w:rFonts w:ascii="Times New Roman" w:eastAsia="Times New Roman"/>
                <w:spacing w:val="4"/>
                <w:sz w:val="21"/>
              </w:rPr>
              <w:t> </w:t>
            </w:r>
            <w:r>
              <w:rPr>
                <w:spacing w:val="-9"/>
                <w:sz w:val="21"/>
              </w:rPr>
              <w:t>接访问统一的数据；设备数据 </w:t>
            </w:r>
            <w:r>
              <w:rPr>
                <w:rFonts w:ascii="Times New Roman" w:eastAsia="Times New Roman"/>
                <w:sz w:val="21"/>
              </w:rPr>
              <w:t>API</w:t>
            </w:r>
          </w:p>
          <w:p>
            <w:pPr>
              <w:pStyle w:val="TableParagraph"/>
              <w:spacing w:line="251" w:lineRule="exact" w:before="4"/>
              <w:ind w:left="117"/>
              <w:rPr>
                <w:sz w:val="21"/>
              </w:rPr>
            </w:pPr>
            <w:r>
              <w:rPr>
                <w:spacing w:val="-9"/>
                <w:sz w:val="21"/>
              </w:rPr>
              <w:t>接口平台；开发者中心</w:t>
            </w:r>
            <w:r>
              <w:rPr>
                <w:spacing w:val="-3"/>
                <w:sz w:val="21"/>
              </w:rPr>
              <w:t>（</w:t>
            </w:r>
            <w:r>
              <w:rPr>
                <w:spacing w:val="-7"/>
                <w:sz w:val="21"/>
              </w:rPr>
              <w:t>应用开发，应</w:t>
            </w:r>
          </w:p>
        </w:tc>
        <w:tc>
          <w:tcPr>
            <w:tcW w:w="994" w:type="dxa"/>
            <w:tcBorders>
              <w:top w:val="nil"/>
              <w:left w:val="single" w:sz="4" w:space="0" w:color="000000"/>
              <w:bottom w:val="nil"/>
              <w:right w:val="single" w:sz="4" w:space="0" w:color="000000"/>
            </w:tcBorders>
          </w:tcPr>
          <w:p>
            <w:pPr>
              <w:pStyle w:val="TableParagraph"/>
              <w:spacing w:before="175"/>
              <w:ind w:left="117"/>
              <w:rPr>
                <w:sz w:val="21"/>
              </w:rPr>
            </w:pPr>
            <w:r>
              <w:rPr>
                <w:rFonts w:ascii="Times New Roman" w:eastAsia="Times New Roman"/>
                <w:sz w:val="21"/>
              </w:rPr>
              <w:t>30 </w:t>
            </w:r>
            <w:r>
              <w:rPr>
                <w:sz w:val="21"/>
              </w:rPr>
              <w:t>万元</w:t>
            </w:r>
          </w:p>
        </w:tc>
        <w:tc>
          <w:tcPr>
            <w:tcW w:w="1167" w:type="dxa"/>
            <w:tcBorders>
              <w:top w:val="nil"/>
              <w:left w:val="single" w:sz="4" w:space="0" w:color="000000"/>
              <w:bottom w:val="nil"/>
            </w:tcBorders>
          </w:tcPr>
          <w:p>
            <w:pPr>
              <w:pStyle w:val="TableParagraph"/>
              <w:spacing w:line="233" w:lineRule="exact"/>
              <w:ind w:left="117"/>
              <w:jc w:val="both"/>
              <w:rPr>
                <w:sz w:val="21"/>
              </w:rPr>
            </w:pPr>
            <w:r>
              <w:rPr>
                <w:spacing w:val="26"/>
                <w:sz w:val="21"/>
              </w:rPr>
              <w:t>的智造中</w:t>
            </w:r>
          </w:p>
          <w:p>
            <w:pPr>
              <w:pStyle w:val="TableParagraph"/>
              <w:spacing w:line="242" w:lineRule="auto" w:before="2"/>
              <w:ind w:left="117" w:right="74"/>
              <w:jc w:val="both"/>
              <w:rPr>
                <w:sz w:val="21"/>
              </w:rPr>
            </w:pPr>
            <w:r>
              <w:rPr>
                <w:spacing w:val="-25"/>
                <w:sz w:val="21"/>
              </w:rPr>
              <w:t>台，对下提</w:t>
            </w:r>
            <w:r>
              <w:rPr>
                <w:spacing w:val="22"/>
                <w:sz w:val="21"/>
              </w:rPr>
              <w:t>供统一的设备接入平台和统一大数据</w:t>
            </w:r>
          </w:p>
          <w:p>
            <w:pPr>
              <w:pStyle w:val="TableParagraph"/>
              <w:spacing w:line="270" w:lineRule="atLeast" w:before="3"/>
              <w:ind w:left="117" w:right="74"/>
              <w:jc w:val="both"/>
              <w:rPr>
                <w:sz w:val="21"/>
              </w:rPr>
            </w:pPr>
            <w:r>
              <w:rPr>
                <w:spacing w:val="-25"/>
                <w:sz w:val="21"/>
              </w:rPr>
              <w:t>管理，对上</w:t>
            </w:r>
            <w:r>
              <w:rPr>
                <w:spacing w:val="22"/>
                <w:sz w:val="21"/>
              </w:rPr>
              <w:t>提供丰富</w:t>
            </w:r>
          </w:p>
        </w:tc>
      </w:tr>
      <w:tr>
        <w:trPr>
          <w:trHeight w:val="546" w:hRule="atLeast"/>
        </w:trPr>
        <w:tc>
          <w:tcPr>
            <w:tcW w:w="636" w:type="dxa"/>
            <w:tcBorders>
              <w:top w:val="nil"/>
              <w:bottom w:val="single" w:sz="4" w:space="0" w:color="000000"/>
              <w:right w:val="single" w:sz="4" w:space="0" w:color="000000"/>
            </w:tcBorders>
          </w:tcPr>
          <w:p>
            <w:pPr>
              <w:pStyle w:val="TableParagraph"/>
              <w:rPr>
                <w:rFonts w:ascii="Times New Roman"/>
                <w:sz w:val="20"/>
              </w:rPr>
            </w:pPr>
          </w:p>
        </w:tc>
        <w:tc>
          <w:tcPr>
            <w:tcW w:w="775"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723"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506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3708" w:type="dxa"/>
            <w:tcBorders>
              <w:top w:val="nil"/>
              <w:left w:val="single" w:sz="4" w:space="0" w:color="000000"/>
              <w:bottom w:val="single" w:sz="4" w:space="0" w:color="000000"/>
              <w:right w:val="single" w:sz="4" w:space="0" w:color="000000"/>
            </w:tcBorders>
          </w:tcPr>
          <w:p>
            <w:pPr>
              <w:pStyle w:val="TableParagraph"/>
              <w:spacing w:line="270" w:lineRule="atLeast" w:before="1"/>
              <w:ind w:left="117" w:right="83"/>
              <w:rPr>
                <w:sz w:val="21"/>
              </w:rPr>
            </w:pPr>
            <w:r>
              <w:rPr>
                <w:spacing w:val="-1"/>
                <w:w w:val="100"/>
                <w:sz w:val="21"/>
              </w:rPr>
              <w:t>用部署，应用运维，应用交易</w:t>
            </w:r>
            <w:r>
              <w:rPr>
                <w:spacing w:val="-106"/>
                <w:w w:val="100"/>
                <w:sz w:val="21"/>
              </w:rPr>
              <w:t>）</w:t>
            </w:r>
            <w:r>
              <w:rPr>
                <w:w w:val="100"/>
                <w:sz w:val="21"/>
              </w:rPr>
              <w:t>；可根</w:t>
            </w:r>
            <w:r>
              <w:rPr>
                <w:spacing w:val="5"/>
                <w:sz w:val="21"/>
              </w:rPr>
              <w:t>据主数据提供企业不同角色的对业务</w:t>
            </w:r>
          </w:p>
        </w:tc>
        <w:tc>
          <w:tcPr>
            <w:tcW w:w="99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167" w:type="dxa"/>
            <w:tcBorders>
              <w:top w:val="nil"/>
              <w:left w:val="single" w:sz="4" w:space="0" w:color="000000"/>
              <w:bottom w:val="single" w:sz="4" w:space="0" w:color="000000"/>
            </w:tcBorders>
          </w:tcPr>
          <w:p>
            <w:pPr>
              <w:pStyle w:val="TableParagraph"/>
              <w:spacing w:before="2"/>
              <w:ind w:left="117"/>
              <w:rPr>
                <w:sz w:val="21"/>
              </w:rPr>
            </w:pPr>
            <w:r>
              <w:rPr>
                <w:sz w:val="21"/>
              </w:rPr>
              <w:t>的  标 准</w:t>
            </w:r>
          </w:p>
          <w:p>
            <w:pPr>
              <w:pStyle w:val="TableParagraph"/>
              <w:spacing w:line="252" w:lineRule="exact" w:before="3"/>
              <w:ind w:left="117"/>
              <w:rPr>
                <w:sz w:val="21"/>
              </w:rPr>
            </w:pPr>
            <w:r>
              <w:rPr>
                <w:rFonts w:ascii="Times New Roman" w:eastAsia="Times New Roman"/>
                <w:sz w:val="21"/>
              </w:rPr>
              <w:t>API</w:t>
            </w:r>
            <w:r>
              <w:rPr>
                <w:rFonts w:ascii="Times New Roman" w:eastAsia="Times New Roman"/>
                <w:spacing w:val="22"/>
                <w:sz w:val="21"/>
              </w:rPr>
              <w:t>  </w:t>
            </w:r>
            <w:r>
              <w:rPr>
                <w:spacing w:val="21"/>
                <w:sz w:val="21"/>
              </w:rPr>
              <w:t>和可</w:t>
            </w:r>
          </w:p>
        </w:tc>
      </w:tr>
    </w:tbl>
    <w:p>
      <w:pPr>
        <w:spacing w:after="0" w:line="252" w:lineRule="exact"/>
        <w:rPr>
          <w:sz w:val="21"/>
        </w:rPr>
        <w:sectPr>
          <w:pgSz w:w="16840" w:h="11900" w:orient="landscape"/>
          <w:pgMar w:header="0" w:footer="1237" w:top="1100" w:bottom="1420" w:left="1320" w:right="1200"/>
        </w:sectPr>
      </w:pPr>
    </w:p>
    <w:p>
      <w:pPr>
        <w:pStyle w:val="BodyText"/>
        <w:rPr>
          <w:rFonts w:ascii="Times New Roman"/>
          <w:sz w:val="20"/>
        </w:rPr>
      </w:pPr>
    </w:p>
    <w:p>
      <w:pPr>
        <w:pStyle w:val="BodyText"/>
        <w:spacing w:before="5" w:after="1"/>
        <w:rPr>
          <w:rFonts w:ascii="Times New Roman"/>
          <w:sz w:val="22"/>
        </w:rPr>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36"/>
        <w:gridCol w:w="775"/>
        <w:gridCol w:w="1723"/>
        <w:gridCol w:w="5064"/>
        <w:gridCol w:w="3708"/>
        <w:gridCol w:w="994"/>
        <w:gridCol w:w="1167"/>
      </w:tblGrid>
      <w:tr>
        <w:trPr>
          <w:trHeight w:val="663" w:hRule="atLeast"/>
        </w:trPr>
        <w:tc>
          <w:tcPr>
            <w:tcW w:w="636" w:type="dxa"/>
            <w:tcBorders>
              <w:right w:val="single" w:sz="4" w:space="0" w:color="000000"/>
            </w:tcBorders>
          </w:tcPr>
          <w:p>
            <w:pPr>
              <w:pStyle w:val="TableParagraph"/>
              <w:spacing w:line="151" w:lineRule="auto" w:before="19"/>
              <w:ind w:left="210" w:right="192"/>
              <w:rPr>
                <w:rFonts w:ascii="思源黑体 CN Bold" w:eastAsia="思源黑体 CN Bold" w:hint="eastAsia"/>
                <w:b/>
                <w:sz w:val="21"/>
              </w:rPr>
            </w:pPr>
            <w:r>
              <w:rPr>
                <w:rFonts w:ascii="思源黑体 CN Bold" w:eastAsia="思源黑体 CN Bold" w:hint="eastAsia"/>
                <w:b/>
                <w:sz w:val="21"/>
              </w:rPr>
              <w:t>序号</w:t>
            </w:r>
          </w:p>
        </w:tc>
        <w:tc>
          <w:tcPr>
            <w:tcW w:w="775" w:type="dxa"/>
            <w:tcBorders>
              <w:left w:val="single" w:sz="4" w:space="0" w:color="000000"/>
              <w:right w:val="single" w:sz="4" w:space="0" w:color="000000"/>
            </w:tcBorders>
          </w:tcPr>
          <w:p>
            <w:pPr>
              <w:pStyle w:val="TableParagraph"/>
              <w:spacing w:line="151" w:lineRule="auto" w:before="19"/>
              <w:ind w:left="184" w:right="155"/>
              <w:rPr>
                <w:rFonts w:ascii="思源黑体 CN Bold" w:eastAsia="思源黑体 CN Bold" w:hint="eastAsia"/>
                <w:b/>
                <w:sz w:val="21"/>
              </w:rPr>
            </w:pPr>
            <w:r>
              <w:rPr>
                <w:rFonts w:ascii="思源黑体 CN Bold" w:eastAsia="思源黑体 CN Bold" w:hint="eastAsia"/>
                <w:b/>
                <w:sz w:val="21"/>
              </w:rPr>
              <w:t>一级目录</w:t>
            </w:r>
          </w:p>
        </w:tc>
        <w:tc>
          <w:tcPr>
            <w:tcW w:w="1723" w:type="dxa"/>
            <w:tcBorders>
              <w:left w:val="single" w:sz="4" w:space="0" w:color="000000"/>
              <w:right w:val="single" w:sz="4" w:space="0" w:color="000000"/>
            </w:tcBorders>
          </w:tcPr>
          <w:p>
            <w:pPr>
              <w:pStyle w:val="TableParagraph"/>
              <w:spacing w:before="43"/>
              <w:ind w:left="220" w:right="191"/>
              <w:jc w:val="center"/>
              <w:rPr>
                <w:rFonts w:ascii="思源黑体 CN Bold" w:eastAsia="思源黑体 CN Bold" w:hint="eastAsia"/>
                <w:b/>
                <w:sz w:val="21"/>
              </w:rPr>
            </w:pPr>
            <w:r>
              <w:rPr>
                <w:rFonts w:ascii="思源黑体 CN Bold" w:eastAsia="思源黑体 CN Bold" w:hint="eastAsia"/>
                <w:b/>
                <w:sz w:val="21"/>
              </w:rPr>
              <w:t>二级目录</w:t>
            </w:r>
          </w:p>
        </w:tc>
        <w:tc>
          <w:tcPr>
            <w:tcW w:w="5064" w:type="dxa"/>
            <w:tcBorders>
              <w:left w:val="single" w:sz="4" w:space="0" w:color="000000"/>
              <w:right w:val="single" w:sz="4" w:space="0" w:color="000000"/>
            </w:tcBorders>
          </w:tcPr>
          <w:p>
            <w:pPr>
              <w:pStyle w:val="TableParagraph"/>
              <w:spacing w:before="43"/>
              <w:ind w:left="1891" w:right="1862"/>
              <w:jc w:val="center"/>
              <w:rPr>
                <w:rFonts w:ascii="思源黑体 CN Bold" w:eastAsia="思源黑体 CN Bold" w:hint="eastAsia"/>
                <w:b/>
                <w:sz w:val="21"/>
              </w:rPr>
            </w:pPr>
            <w:r>
              <w:rPr>
                <w:rFonts w:ascii="思源黑体 CN Bold" w:eastAsia="思源黑体 CN Bold" w:hint="eastAsia"/>
                <w:b/>
                <w:sz w:val="21"/>
              </w:rPr>
              <w:t>主要应用场景</w:t>
            </w:r>
          </w:p>
        </w:tc>
        <w:tc>
          <w:tcPr>
            <w:tcW w:w="3708" w:type="dxa"/>
            <w:tcBorders>
              <w:left w:val="single" w:sz="4" w:space="0" w:color="000000"/>
              <w:right w:val="single" w:sz="4" w:space="0" w:color="000000"/>
            </w:tcBorders>
          </w:tcPr>
          <w:p>
            <w:pPr>
              <w:pStyle w:val="TableParagraph"/>
              <w:spacing w:before="43"/>
              <w:ind w:left="1231"/>
              <w:rPr>
                <w:rFonts w:ascii="思源黑体 CN Bold" w:eastAsia="思源黑体 CN Bold" w:hint="eastAsia"/>
                <w:b/>
                <w:sz w:val="21"/>
              </w:rPr>
            </w:pPr>
            <w:r>
              <w:rPr>
                <w:rFonts w:ascii="思源黑体 CN Bold" w:eastAsia="思源黑体 CN Bold" w:hint="eastAsia"/>
                <w:b/>
                <w:sz w:val="21"/>
              </w:rPr>
              <w:t>主要功能模块</w:t>
            </w:r>
          </w:p>
        </w:tc>
        <w:tc>
          <w:tcPr>
            <w:tcW w:w="994" w:type="dxa"/>
            <w:tcBorders>
              <w:left w:val="single" w:sz="4" w:space="0" w:color="000000"/>
              <w:right w:val="single" w:sz="4" w:space="0" w:color="000000"/>
            </w:tcBorders>
          </w:tcPr>
          <w:p>
            <w:pPr>
              <w:pStyle w:val="TableParagraph"/>
              <w:spacing w:line="151" w:lineRule="auto" w:before="19"/>
              <w:ind w:left="295" w:right="264"/>
              <w:rPr>
                <w:rFonts w:ascii="思源黑体 CN Bold" w:eastAsia="思源黑体 CN Bold" w:hint="eastAsia"/>
                <w:b/>
                <w:sz w:val="21"/>
              </w:rPr>
            </w:pPr>
            <w:r>
              <w:rPr>
                <w:rFonts w:ascii="思源黑体 CN Bold" w:eastAsia="思源黑体 CN Bold" w:hint="eastAsia"/>
                <w:b/>
                <w:sz w:val="21"/>
              </w:rPr>
              <w:t>奖补上限</w:t>
            </w:r>
          </w:p>
        </w:tc>
        <w:tc>
          <w:tcPr>
            <w:tcW w:w="1167" w:type="dxa"/>
            <w:tcBorders>
              <w:left w:val="single" w:sz="4" w:space="0" w:color="000000"/>
            </w:tcBorders>
          </w:tcPr>
          <w:p>
            <w:pPr>
              <w:pStyle w:val="TableParagraph"/>
              <w:spacing w:before="43"/>
              <w:ind w:left="381"/>
              <w:rPr>
                <w:rFonts w:ascii="思源黑体 CN Bold" w:eastAsia="思源黑体 CN Bold" w:hint="eastAsia"/>
                <w:b/>
                <w:sz w:val="21"/>
              </w:rPr>
            </w:pPr>
            <w:r>
              <w:rPr>
                <w:rFonts w:ascii="思源黑体 CN Bold" w:eastAsia="思源黑体 CN Bold" w:hint="eastAsia"/>
                <w:b/>
                <w:sz w:val="21"/>
              </w:rPr>
              <w:t>备注</w:t>
            </w:r>
          </w:p>
        </w:tc>
      </w:tr>
      <w:tr>
        <w:trPr>
          <w:trHeight w:val="530" w:hRule="atLeast"/>
        </w:trPr>
        <w:tc>
          <w:tcPr>
            <w:tcW w:w="636" w:type="dxa"/>
            <w:vMerge w:val="restart"/>
            <w:tcBorders>
              <w:bottom w:val="single" w:sz="4" w:space="0" w:color="000000"/>
              <w:right w:val="single" w:sz="4" w:space="0" w:color="000000"/>
            </w:tcBorders>
          </w:tcPr>
          <w:p>
            <w:pPr>
              <w:pStyle w:val="TableParagraph"/>
              <w:rPr>
                <w:rFonts w:ascii="Times New Roman"/>
                <w:sz w:val="20"/>
              </w:rPr>
            </w:pPr>
          </w:p>
        </w:tc>
        <w:tc>
          <w:tcPr>
            <w:tcW w:w="775" w:type="dxa"/>
            <w:vMerge w:val="restart"/>
            <w:tcBorders>
              <w:left w:val="single" w:sz="4" w:space="0" w:color="000000"/>
              <w:right w:val="single" w:sz="4" w:space="0" w:color="000000"/>
            </w:tcBorders>
          </w:tcPr>
          <w:p>
            <w:pPr>
              <w:pStyle w:val="TableParagraph"/>
              <w:rPr>
                <w:rFonts w:ascii="Times New Roman"/>
                <w:sz w:val="20"/>
              </w:rPr>
            </w:pPr>
          </w:p>
        </w:tc>
        <w:tc>
          <w:tcPr>
            <w:tcW w:w="1723" w:type="dxa"/>
            <w:vMerge w:val="restart"/>
            <w:tcBorders>
              <w:left w:val="single" w:sz="4" w:space="0" w:color="000000"/>
              <w:bottom w:val="single" w:sz="4" w:space="0" w:color="000000"/>
              <w:right w:val="single" w:sz="4" w:space="0" w:color="000000"/>
            </w:tcBorders>
          </w:tcPr>
          <w:p>
            <w:pPr>
              <w:pStyle w:val="TableParagraph"/>
              <w:rPr>
                <w:rFonts w:ascii="Times New Roman"/>
                <w:sz w:val="20"/>
              </w:rPr>
            </w:pPr>
          </w:p>
        </w:tc>
        <w:tc>
          <w:tcPr>
            <w:tcW w:w="5064" w:type="dxa"/>
            <w:vMerge w:val="restart"/>
            <w:tcBorders>
              <w:left w:val="single" w:sz="4" w:space="0" w:color="000000"/>
              <w:bottom w:val="single" w:sz="4" w:space="0" w:color="000000"/>
              <w:right w:val="single" w:sz="4" w:space="0" w:color="000000"/>
            </w:tcBorders>
          </w:tcPr>
          <w:p>
            <w:pPr>
              <w:pStyle w:val="TableParagraph"/>
              <w:rPr>
                <w:rFonts w:ascii="Times New Roman"/>
                <w:sz w:val="20"/>
              </w:rPr>
            </w:pPr>
          </w:p>
        </w:tc>
        <w:tc>
          <w:tcPr>
            <w:tcW w:w="3708" w:type="dxa"/>
            <w:tcBorders>
              <w:left w:val="single" w:sz="4" w:space="0" w:color="000000"/>
              <w:bottom w:val="nil"/>
              <w:right w:val="single" w:sz="4" w:space="0" w:color="000000"/>
            </w:tcBorders>
          </w:tcPr>
          <w:p>
            <w:pPr>
              <w:pStyle w:val="TableParagraph"/>
              <w:spacing w:line="270" w:lineRule="atLeast" w:before="2"/>
              <w:ind w:left="117" w:right="6"/>
              <w:rPr>
                <w:sz w:val="21"/>
              </w:rPr>
            </w:pPr>
            <w:r>
              <w:rPr>
                <w:sz w:val="21"/>
              </w:rPr>
              <w:t>数据管理功能，并提供给多方应用采用标准统一的方式使用主数据。提供接入</w:t>
            </w:r>
          </w:p>
        </w:tc>
        <w:tc>
          <w:tcPr>
            <w:tcW w:w="994" w:type="dxa"/>
            <w:vMerge w:val="restart"/>
            <w:tcBorders>
              <w:left w:val="single" w:sz="4" w:space="0" w:color="000000"/>
              <w:bottom w:val="single" w:sz="4" w:space="0" w:color="000000"/>
              <w:right w:val="single" w:sz="4" w:space="0" w:color="000000"/>
            </w:tcBorders>
          </w:tcPr>
          <w:p>
            <w:pPr>
              <w:pStyle w:val="TableParagraph"/>
              <w:rPr>
                <w:rFonts w:ascii="Times New Roman"/>
                <w:sz w:val="20"/>
              </w:rPr>
            </w:pPr>
          </w:p>
        </w:tc>
        <w:tc>
          <w:tcPr>
            <w:tcW w:w="1167" w:type="dxa"/>
            <w:tcBorders>
              <w:left w:val="single" w:sz="4" w:space="0" w:color="000000"/>
              <w:bottom w:val="nil"/>
            </w:tcBorders>
          </w:tcPr>
          <w:p>
            <w:pPr>
              <w:pStyle w:val="TableParagraph"/>
              <w:spacing w:line="270" w:lineRule="atLeast" w:before="2"/>
              <w:ind w:left="117" w:right="-29"/>
              <w:rPr>
                <w:sz w:val="21"/>
              </w:rPr>
            </w:pPr>
            <w:r>
              <w:rPr>
                <w:spacing w:val="-4"/>
                <w:sz w:val="21"/>
              </w:rPr>
              <w:t>视化组件， </w:t>
            </w:r>
            <w:r>
              <w:rPr>
                <w:spacing w:val="26"/>
                <w:sz w:val="21"/>
              </w:rPr>
              <w:t>支持灵活</w:t>
            </w:r>
          </w:p>
        </w:tc>
      </w:tr>
      <w:tr>
        <w:trPr>
          <w:trHeight w:val="1318" w:hRule="atLeast"/>
        </w:trPr>
        <w:tc>
          <w:tcPr>
            <w:tcW w:w="636" w:type="dxa"/>
            <w:vMerge/>
            <w:tcBorders>
              <w:top w:val="nil"/>
              <w:bottom w:val="single" w:sz="4" w:space="0" w:color="000000"/>
              <w:right w:val="single" w:sz="4" w:space="0" w:color="000000"/>
            </w:tcBorders>
          </w:tcPr>
          <w:p>
            <w:pPr>
              <w:rPr>
                <w:sz w:val="2"/>
                <w:szCs w:val="2"/>
              </w:rPr>
            </w:pPr>
          </w:p>
        </w:tc>
        <w:tc>
          <w:tcPr>
            <w:tcW w:w="775" w:type="dxa"/>
            <w:vMerge/>
            <w:tcBorders>
              <w:top w:val="nil"/>
              <w:left w:val="single" w:sz="4" w:space="0" w:color="000000"/>
              <w:right w:val="single" w:sz="4" w:space="0" w:color="000000"/>
            </w:tcBorders>
          </w:tcPr>
          <w:p>
            <w:pPr>
              <w:rPr>
                <w:sz w:val="2"/>
                <w:szCs w:val="2"/>
              </w:rPr>
            </w:pPr>
          </w:p>
        </w:tc>
        <w:tc>
          <w:tcPr>
            <w:tcW w:w="1723" w:type="dxa"/>
            <w:vMerge/>
            <w:tcBorders>
              <w:top w:val="nil"/>
              <w:left w:val="single" w:sz="4" w:space="0" w:color="000000"/>
              <w:bottom w:val="single" w:sz="4" w:space="0" w:color="000000"/>
              <w:right w:val="single" w:sz="4" w:space="0" w:color="000000"/>
            </w:tcBorders>
          </w:tcPr>
          <w:p>
            <w:pPr>
              <w:rPr>
                <w:sz w:val="2"/>
                <w:szCs w:val="2"/>
              </w:rPr>
            </w:pPr>
          </w:p>
        </w:tc>
        <w:tc>
          <w:tcPr>
            <w:tcW w:w="5064" w:type="dxa"/>
            <w:vMerge/>
            <w:tcBorders>
              <w:top w:val="nil"/>
              <w:left w:val="single" w:sz="4" w:space="0" w:color="000000"/>
              <w:bottom w:val="single" w:sz="4" w:space="0" w:color="000000"/>
              <w:right w:val="single" w:sz="4" w:space="0" w:color="000000"/>
            </w:tcBorders>
          </w:tcPr>
          <w:p>
            <w:pPr>
              <w:rPr>
                <w:sz w:val="2"/>
                <w:szCs w:val="2"/>
              </w:rPr>
            </w:pPr>
          </w:p>
        </w:tc>
        <w:tc>
          <w:tcPr>
            <w:tcW w:w="3708" w:type="dxa"/>
            <w:tcBorders>
              <w:top w:val="nil"/>
              <w:left w:val="single" w:sz="4" w:space="0" w:color="000000"/>
              <w:bottom w:val="nil"/>
              <w:right w:val="single" w:sz="4" w:space="0" w:color="000000"/>
            </w:tcBorders>
          </w:tcPr>
          <w:p>
            <w:pPr>
              <w:pStyle w:val="TableParagraph"/>
              <w:spacing w:line="245" w:lineRule="exact"/>
              <w:ind w:left="117"/>
              <w:rPr>
                <w:sz w:val="21"/>
              </w:rPr>
            </w:pPr>
            <w:r>
              <w:rPr>
                <w:sz w:val="21"/>
              </w:rPr>
              <w:t>工厂统一的报警、消息的中心以推送方</w:t>
            </w:r>
          </w:p>
          <w:p>
            <w:pPr>
              <w:pStyle w:val="TableParagraph"/>
              <w:spacing w:line="242" w:lineRule="auto" w:before="2"/>
              <w:ind w:left="117" w:right="83"/>
              <w:jc w:val="both"/>
              <w:rPr>
                <w:sz w:val="21"/>
              </w:rPr>
            </w:pPr>
            <w:r>
              <w:rPr>
                <w:sz w:val="21"/>
              </w:rPr>
              <w:t>式给指定的人员</w:t>
            </w:r>
            <w:r>
              <w:rPr>
                <w:rFonts w:ascii="Times New Roman" w:eastAsia="Times New Roman"/>
                <w:sz w:val="21"/>
              </w:rPr>
              <w:t>,</w:t>
            </w:r>
            <w:r>
              <w:rPr>
                <w:sz w:val="21"/>
              </w:rPr>
              <w:t>经营驾驶舱为数字工厂提供统一的经营管理指标定义、计算、统计及展示分析应用。</w:t>
            </w:r>
          </w:p>
        </w:tc>
        <w:tc>
          <w:tcPr>
            <w:tcW w:w="994" w:type="dxa"/>
            <w:vMerge/>
            <w:tcBorders>
              <w:top w:val="nil"/>
              <w:left w:val="single" w:sz="4" w:space="0" w:color="000000"/>
              <w:bottom w:val="single" w:sz="4" w:space="0" w:color="000000"/>
              <w:right w:val="single" w:sz="4" w:space="0" w:color="000000"/>
            </w:tcBorders>
          </w:tcPr>
          <w:p>
            <w:pPr>
              <w:rPr>
                <w:sz w:val="2"/>
                <w:szCs w:val="2"/>
              </w:rPr>
            </w:pPr>
          </w:p>
        </w:tc>
        <w:tc>
          <w:tcPr>
            <w:tcW w:w="1167" w:type="dxa"/>
            <w:tcBorders>
              <w:top w:val="nil"/>
              <w:left w:val="single" w:sz="4" w:space="0" w:color="000000"/>
              <w:bottom w:val="nil"/>
            </w:tcBorders>
          </w:tcPr>
          <w:p>
            <w:pPr>
              <w:pStyle w:val="TableParagraph"/>
              <w:spacing w:line="245" w:lineRule="exact"/>
              <w:ind w:left="117"/>
              <w:jc w:val="both"/>
              <w:rPr>
                <w:sz w:val="21"/>
              </w:rPr>
            </w:pPr>
            <w:r>
              <w:rPr>
                <w:spacing w:val="26"/>
                <w:sz w:val="21"/>
              </w:rPr>
              <w:t>集成和定</w:t>
            </w:r>
          </w:p>
          <w:p>
            <w:pPr>
              <w:pStyle w:val="TableParagraph"/>
              <w:spacing w:line="242" w:lineRule="auto" w:before="2"/>
              <w:ind w:left="117" w:right="74"/>
              <w:jc w:val="both"/>
              <w:rPr>
                <w:sz w:val="21"/>
              </w:rPr>
            </w:pPr>
            <w:r>
              <w:rPr>
                <w:spacing w:val="-24"/>
                <w:sz w:val="21"/>
              </w:rPr>
              <w:t>制开发，同</w:t>
            </w:r>
            <w:r>
              <w:rPr>
                <w:spacing w:val="22"/>
                <w:sz w:val="21"/>
              </w:rPr>
              <w:t>时提供基础的产线</w:t>
            </w:r>
          </w:p>
          <w:p>
            <w:pPr>
              <w:pStyle w:val="TableParagraph"/>
              <w:spacing w:line="236" w:lineRule="exact" w:before="1"/>
              <w:ind w:left="117"/>
              <w:jc w:val="both"/>
              <w:rPr>
                <w:sz w:val="21"/>
              </w:rPr>
            </w:pPr>
            <w:r>
              <w:rPr>
                <w:spacing w:val="26"/>
                <w:sz w:val="21"/>
              </w:rPr>
              <w:t>数字化管</w:t>
            </w:r>
          </w:p>
        </w:tc>
      </w:tr>
      <w:tr>
        <w:trPr>
          <w:trHeight w:val="1365" w:hRule="atLeast"/>
        </w:trPr>
        <w:tc>
          <w:tcPr>
            <w:tcW w:w="636" w:type="dxa"/>
            <w:vMerge/>
            <w:tcBorders>
              <w:top w:val="nil"/>
              <w:bottom w:val="single" w:sz="4" w:space="0" w:color="000000"/>
              <w:right w:val="single" w:sz="4" w:space="0" w:color="000000"/>
            </w:tcBorders>
          </w:tcPr>
          <w:p>
            <w:pPr>
              <w:rPr>
                <w:sz w:val="2"/>
                <w:szCs w:val="2"/>
              </w:rPr>
            </w:pPr>
          </w:p>
        </w:tc>
        <w:tc>
          <w:tcPr>
            <w:tcW w:w="775" w:type="dxa"/>
            <w:vMerge/>
            <w:tcBorders>
              <w:top w:val="nil"/>
              <w:left w:val="single" w:sz="4" w:space="0" w:color="000000"/>
              <w:right w:val="single" w:sz="4" w:space="0" w:color="000000"/>
            </w:tcBorders>
          </w:tcPr>
          <w:p>
            <w:pPr>
              <w:rPr>
                <w:sz w:val="2"/>
                <w:szCs w:val="2"/>
              </w:rPr>
            </w:pPr>
          </w:p>
        </w:tc>
        <w:tc>
          <w:tcPr>
            <w:tcW w:w="1723" w:type="dxa"/>
            <w:vMerge/>
            <w:tcBorders>
              <w:top w:val="nil"/>
              <w:left w:val="single" w:sz="4" w:space="0" w:color="000000"/>
              <w:bottom w:val="single" w:sz="4" w:space="0" w:color="000000"/>
              <w:right w:val="single" w:sz="4" w:space="0" w:color="000000"/>
            </w:tcBorders>
          </w:tcPr>
          <w:p>
            <w:pPr>
              <w:rPr>
                <w:sz w:val="2"/>
                <w:szCs w:val="2"/>
              </w:rPr>
            </w:pPr>
          </w:p>
        </w:tc>
        <w:tc>
          <w:tcPr>
            <w:tcW w:w="5064" w:type="dxa"/>
            <w:vMerge/>
            <w:tcBorders>
              <w:top w:val="nil"/>
              <w:left w:val="single" w:sz="4" w:space="0" w:color="000000"/>
              <w:bottom w:val="single" w:sz="4" w:space="0" w:color="000000"/>
              <w:right w:val="single" w:sz="4" w:space="0" w:color="000000"/>
            </w:tcBorders>
          </w:tcPr>
          <w:p>
            <w:pPr>
              <w:rPr>
                <w:sz w:val="2"/>
                <w:szCs w:val="2"/>
              </w:rPr>
            </w:pPr>
          </w:p>
        </w:tc>
        <w:tc>
          <w:tcPr>
            <w:tcW w:w="3708"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994" w:type="dxa"/>
            <w:vMerge/>
            <w:tcBorders>
              <w:top w:val="nil"/>
              <w:left w:val="single" w:sz="4" w:space="0" w:color="000000"/>
              <w:bottom w:val="single" w:sz="4" w:space="0" w:color="000000"/>
              <w:right w:val="single" w:sz="4" w:space="0" w:color="000000"/>
            </w:tcBorders>
          </w:tcPr>
          <w:p>
            <w:pPr>
              <w:rPr>
                <w:sz w:val="2"/>
                <w:szCs w:val="2"/>
              </w:rPr>
            </w:pPr>
          </w:p>
        </w:tc>
        <w:tc>
          <w:tcPr>
            <w:tcW w:w="1167" w:type="dxa"/>
            <w:tcBorders>
              <w:top w:val="nil"/>
              <w:left w:val="single" w:sz="4" w:space="0" w:color="000000"/>
              <w:bottom w:val="single" w:sz="4" w:space="0" w:color="000000"/>
            </w:tcBorders>
          </w:tcPr>
          <w:p>
            <w:pPr>
              <w:pStyle w:val="TableParagraph"/>
              <w:spacing w:line="242" w:lineRule="auto"/>
              <w:ind w:left="117" w:right="74"/>
              <w:rPr>
                <w:sz w:val="21"/>
              </w:rPr>
            </w:pPr>
            <w:r>
              <w:rPr>
                <w:sz w:val="21"/>
              </w:rPr>
              <w:t>理应用作验证。</w:t>
            </w:r>
          </w:p>
        </w:tc>
      </w:tr>
      <w:tr>
        <w:trPr>
          <w:trHeight w:val="472" w:hRule="atLeast"/>
        </w:trPr>
        <w:tc>
          <w:tcPr>
            <w:tcW w:w="636" w:type="dxa"/>
            <w:tcBorders>
              <w:top w:val="single" w:sz="4" w:space="0" w:color="000000"/>
              <w:bottom w:val="nil"/>
              <w:right w:val="single" w:sz="4" w:space="0" w:color="000000"/>
            </w:tcBorders>
          </w:tcPr>
          <w:p>
            <w:pPr>
              <w:pStyle w:val="TableParagraph"/>
              <w:rPr>
                <w:rFonts w:ascii="Times New Roman"/>
                <w:sz w:val="20"/>
              </w:rPr>
            </w:pPr>
          </w:p>
        </w:tc>
        <w:tc>
          <w:tcPr>
            <w:tcW w:w="775" w:type="dxa"/>
            <w:vMerge/>
            <w:tcBorders>
              <w:top w:val="nil"/>
              <w:left w:val="single" w:sz="4" w:space="0" w:color="000000"/>
              <w:right w:val="single" w:sz="4" w:space="0" w:color="000000"/>
            </w:tcBorders>
          </w:tcPr>
          <w:p>
            <w:pPr>
              <w:rPr>
                <w:sz w:val="2"/>
                <w:szCs w:val="2"/>
              </w:rPr>
            </w:pPr>
          </w:p>
        </w:tc>
        <w:tc>
          <w:tcPr>
            <w:tcW w:w="1723"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5064"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3708" w:type="dxa"/>
            <w:tcBorders>
              <w:top w:val="single" w:sz="4" w:space="0" w:color="000000"/>
              <w:left w:val="single" w:sz="4" w:space="0" w:color="000000"/>
              <w:bottom w:val="nil"/>
              <w:right w:val="single" w:sz="4" w:space="0" w:color="000000"/>
            </w:tcBorders>
          </w:tcPr>
          <w:p>
            <w:pPr>
              <w:pStyle w:val="TableParagraph"/>
              <w:spacing w:before="9"/>
              <w:rPr>
                <w:rFonts w:ascii="Times New Roman"/>
                <w:sz w:val="18"/>
              </w:rPr>
            </w:pPr>
          </w:p>
          <w:p>
            <w:pPr>
              <w:pStyle w:val="TableParagraph"/>
              <w:spacing w:line="236" w:lineRule="exact"/>
              <w:ind w:left="117"/>
              <w:rPr>
                <w:sz w:val="21"/>
              </w:rPr>
            </w:pPr>
            <w:r>
              <w:rPr>
                <w:sz w:val="21"/>
              </w:rPr>
              <w:t>可委托具有集成能力的服务商或第三</w:t>
            </w:r>
          </w:p>
        </w:tc>
        <w:tc>
          <w:tcPr>
            <w:tcW w:w="994"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1167" w:type="dxa"/>
            <w:tcBorders>
              <w:top w:val="single" w:sz="4" w:space="0" w:color="000000"/>
              <w:left w:val="single" w:sz="4" w:space="0" w:color="000000"/>
              <w:bottom w:val="nil"/>
            </w:tcBorders>
          </w:tcPr>
          <w:p>
            <w:pPr>
              <w:pStyle w:val="TableParagraph"/>
              <w:rPr>
                <w:rFonts w:ascii="Times New Roman"/>
                <w:sz w:val="20"/>
              </w:rPr>
            </w:pPr>
          </w:p>
        </w:tc>
      </w:tr>
      <w:tr>
        <w:trPr>
          <w:trHeight w:val="1604" w:hRule="atLeast"/>
        </w:trPr>
        <w:tc>
          <w:tcPr>
            <w:tcW w:w="636" w:type="dxa"/>
            <w:tcBorders>
              <w:top w:val="nil"/>
              <w:bottom w:val="nil"/>
              <w:right w:val="single" w:sz="4"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88"/>
              <w:ind w:left="107"/>
              <w:rPr>
                <w:rFonts w:ascii="Times New Roman"/>
                <w:sz w:val="21"/>
              </w:rPr>
            </w:pPr>
            <w:r>
              <w:rPr>
                <w:rFonts w:ascii="Times New Roman"/>
                <w:sz w:val="21"/>
              </w:rPr>
              <w:t>25</w:t>
            </w:r>
          </w:p>
        </w:tc>
        <w:tc>
          <w:tcPr>
            <w:tcW w:w="775" w:type="dxa"/>
            <w:vMerge/>
            <w:tcBorders>
              <w:top w:val="nil"/>
              <w:left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220" w:right="191"/>
              <w:jc w:val="center"/>
              <w:rPr>
                <w:sz w:val="21"/>
              </w:rPr>
            </w:pPr>
            <w:r>
              <w:rPr>
                <w:sz w:val="21"/>
              </w:rPr>
              <w:t>工厂应用集成</w:t>
            </w:r>
          </w:p>
        </w:tc>
        <w:tc>
          <w:tcPr>
            <w:tcW w:w="5064" w:type="dxa"/>
            <w:tcBorders>
              <w:top w:val="nil"/>
              <w:left w:val="single" w:sz="4" w:space="0" w:color="000000"/>
              <w:bottom w:val="nil"/>
              <w:right w:val="single" w:sz="4" w:space="0" w:color="000000"/>
            </w:tcBorders>
          </w:tcPr>
          <w:p>
            <w:pPr>
              <w:pStyle w:val="TableParagraph"/>
              <w:spacing w:before="5"/>
              <w:rPr>
                <w:rFonts w:ascii="Times New Roman"/>
                <w:sz w:val="22"/>
              </w:rPr>
            </w:pPr>
          </w:p>
          <w:p>
            <w:pPr>
              <w:pStyle w:val="TableParagraph"/>
              <w:spacing w:line="242" w:lineRule="auto" w:before="1"/>
              <w:ind w:left="117" w:right="-29"/>
              <w:jc w:val="both"/>
              <w:rPr>
                <w:sz w:val="21"/>
              </w:rPr>
            </w:pPr>
            <w:r>
              <w:rPr>
                <w:spacing w:val="-3"/>
                <w:sz w:val="21"/>
              </w:rPr>
              <w:t>以打破系统信息孤岛、实现系统互联互通为目标，重点面向试点示范标杆用户的</w:t>
            </w:r>
            <w:r>
              <w:rPr>
                <w:rFonts w:ascii="Times New Roman" w:hAnsi="Times New Roman" w:eastAsia="Times New Roman"/>
                <w:sz w:val="21"/>
              </w:rPr>
              <w:t>“</w:t>
            </w:r>
            <w:r>
              <w:rPr>
                <w:spacing w:val="-2"/>
                <w:sz w:val="21"/>
              </w:rPr>
              <w:t>一站式</w:t>
            </w:r>
            <w:r>
              <w:rPr>
                <w:rFonts w:ascii="Times New Roman" w:hAnsi="Times New Roman" w:eastAsia="Times New Roman"/>
                <w:spacing w:val="-3"/>
                <w:sz w:val="21"/>
              </w:rPr>
              <w:t>”</w:t>
            </w:r>
            <w:r>
              <w:rPr>
                <w:spacing w:val="-2"/>
                <w:sz w:val="21"/>
              </w:rPr>
              <w:t>服务需求</w:t>
            </w:r>
            <w:r>
              <w:rPr>
                <w:rFonts w:ascii="Times New Roman" w:hAnsi="Times New Roman" w:eastAsia="Times New Roman"/>
                <w:spacing w:val="-3"/>
                <w:sz w:val="21"/>
              </w:rPr>
              <w:t>,</w:t>
            </w:r>
            <w:r>
              <w:rPr>
                <w:spacing w:val="-4"/>
                <w:sz w:val="21"/>
              </w:rPr>
              <w:t>具备 </w:t>
            </w:r>
            <w:r>
              <w:rPr>
                <w:rFonts w:ascii="Times New Roman" w:hAnsi="Times New Roman" w:eastAsia="Times New Roman"/>
                <w:sz w:val="21"/>
              </w:rPr>
              <w:t>2 </w:t>
            </w:r>
            <w:r>
              <w:rPr>
                <w:spacing w:val="-3"/>
                <w:sz w:val="21"/>
              </w:rPr>
              <w:t>家以上服务商之间基于云平台的应用改造投入，通过</w:t>
            </w:r>
          </w:p>
          <w:p>
            <w:pPr>
              <w:pStyle w:val="TableParagraph"/>
              <w:spacing w:line="270" w:lineRule="atLeast" w:before="2"/>
              <w:ind w:left="117" w:right="-29"/>
              <w:rPr>
                <w:sz w:val="21"/>
              </w:rPr>
            </w:pPr>
            <w:r>
              <w:rPr>
                <w:spacing w:val="-7"/>
                <w:sz w:val="21"/>
              </w:rPr>
              <w:t>一个统一的平台入口实现不同应用之间的数据、服务、帐号体系、权限、应用界面的改造集成，推动实现企</w:t>
            </w:r>
          </w:p>
        </w:tc>
        <w:tc>
          <w:tcPr>
            <w:tcW w:w="3708" w:type="dxa"/>
            <w:tcBorders>
              <w:top w:val="nil"/>
              <w:left w:val="single" w:sz="4" w:space="0" w:color="000000"/>
              <w:bottom w:val="nil"/>
              <w:right w:val="single" w:sz="4" w:space="0" w:color="000000"/>
            </w:tcBorders>
          </w:tcPr>
          <w:p>
            <w:pPr>
              <w:pStyle w:val="TableParagraph"/>
              <w:spacing w:line="242" w:lineRule="auto"/>
              <w:ind w:left="117" w:right="2"/>
              <w:rPr>
                <w:sz w:val="21"/>
              </w:rPr>
            </w:pPr>
            <w:r>
              <w:rPr>
                <w:sz w:val="21"/>
              </w:rPr>
              <w:t>方平台进行互联与融合、托管、部署、运维,支持开源中间件,支持应用接口改造,根据企业需求实现多类型应用的组合配置。在企业用户的授权下进行不同应用的集成，实现统一的授权体系，</w:t>
            </w:r>
          </w:p>
          <w:p>
            <w:pPr>
              <w:pStyle w:val="TableParagraph"/>
              <w:spacing w:line="236" w:lineRule="exact"/>
              <w:ind w:left="117"/>
              <w:rPr>
                <w:sz w:val="21"/>
              </w:rPr>
            </w:pPr>
            <w:r>
              <w:rPr>
                <w:sz w:val="21"/>
              </w:rPr>
              <w:t>包括统一登陆入口和帐号体系，统一配</w:t>
            </w:r>
          </w:p>
        </w:tc>
        <w:tc>
          <w:tcPr>
            <w:tcW w:w="994" w:type="dxa"/>
            <w:tcBorders>
              <w:top w:val="nil"/>
              <w:left w:val="single" w:sz="4" w:space="0" w:color="000000"/>
              <w:bottom w:val="nil"/>
              <w:right w:val="single" w:sz="4"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81"/>
              <w:ind w:left="117"/>
              <w:rPr>
                <w:sz w:val="21"/>
              </w:rPr>
            </w:pPr>
            <w:r>
              <w:rPr>
                <w:rFonts w:ascii="Times New Roman" w:eastAsia="Times New Roman"/>
                <w:sz w:val="21"/>
              </w:rPr>
              <w:t>30 </w:t>
            </w:r>
            <w:r>
              <w:rPr>
                <w:sz w:val="21"/>
              </w:rPr>
              <w:t>万元</w:t>
            </w:r>
          </w:p>
        </w:tc>
        <w:tc>
          <w:tcPr>
            <w:tcW w:w="1167" w:type="dxa"/>
            <w:tcBorders>
              <w:top w:val="nil"/>
              <w:left w:val="single" w:sz="4" w:space="0" w:color="000000"/>
              <w:bottom w:val="nil"/>
            </w:tcBorders>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117" w:right="74"/>
              <w:jc w:val="both"/>
              <w:rPr>
                <w:sz w:val="21"/>
              </w:rPr>
            </w:pPr>
            <w:r>
              <w:rPr>
                <w:sz w:val="21"/>
              </w:rPr>
              <w:t>适用于产业集群试点示范。</w:t>
            </w:r>
          </w:p>
        </w:tc>
      </w:tr>
      <w:tr>
        <w:trPr>
          <w:trHeight w:val="502" w:hRule="atLeast"/>
        </w:trPr>
        <w:tc>
          <w:tcPr>
            <w:tcW w:w="636" w:type="dxa"/>
            <w:tcBorders>
              <w:top w:val="nil"/>
              <w:bottom w:val="nil"/>
              <w:right w:val="single" w:sz="4" w:space="0" w:color="000000"/>
            </w:tcBorders>
          </w:tcPr>
          <w:p>
            <w:pPr>
              <w:pStyle w:val="TableParagraph"/>
              <w:rPr>
                <w:rFonts w:ascii="Times New Roman"/>
                <w:sz w:val="20"/>
              </w:rPr>
            </w:pPr>
          </w:p>
        </w:tc>
        <w:tc>
          <w:tcPr>
            <w:tcW w:w="775" w:type="dxa"/>
            <w:vMerge/>
            <w:tcBorders>
              <w:top w:val="nil"/>
              <w:left w:val="single" w:sz="4" w:space="0" w:color="000000"/>
              <w:right w:val="single" w:sz="4" w:space="0" w:color="000000"/>
            </w:tcBorders>
          </w:tcPr>
          <w:p>
            <w:pPr>
              <w:rPr>
                <w:sz w:val="2"/>
                <w:szCs w:val="2"/>
              </w:rPr>
            </w:pPr>
          </w:p>
        </w:tc>
        <w:tc>
          <w:tcPr>
            <w:tcW w:w="1723" w:type="dxa"/>
            <w:tcBorders>
              <w:top w:val="nil"/>
              <w:left w:val="single" w:sz="4" w:space="0" w:color="000000"/>
              <w:bottom w:val="nil"/>
              <w:right w:val="single" w:sz="4" w:space="0" w:color="000000"/>
            </w:tcBorders>
          </w:tcPr>
          <w:p>
            <w:pPr>
              <w:pStyle w:val="TableParagraph"/>
              <w:rPr>
                <w:rFonts w:ascii="Times New Roman"/>
                <w:sz w:val="20"/>
              </w:rPr>
            </w:pPr>
          </w:p>
        </w:tc>
        <w:tc>
          <w:tcPr>
            <w:tcW w:w="5064" w:type="dxa"/>
            <w:tcBorders>
              <w:top w:val="nil"/>
              <w:left w:val="single" w:sz="4" w:space="0" w:color="000000"/>
              <w:bottom w:val="nil"/>
              <w:right w:val="single" w:sz="4" w:space="0" w:color="000000"/>
            </w:tcBorders>
          </w:tcPr>
          <w:p>
            <w:pPr>
              <w:pStyle w:val="TableParagraph"/>
              <w:spacing w:line="245" w:lineRule="exact"/>
              <w:ind w:left="117"/>
              <w:rPr>
                <w:sz w:val="21"/>
              </w:rPr>
            </w:pPr>
            <w:r>
              <w:rPr>
                <w:sz w:val="21"/>
              </w:rPr>
              <w:t>业内部协同与外部互联。</w:t>
            </w:r>
          </w:p>
        </w:tc>
        <w:tc>
          <w:tcPr>
            <w:tcW w:w="3708" w:type="dxa"/>
            <w:tcBorders>
              <w:top w:val="nil"/>
              <w:left w:val="single" w:sz="4" w:space="0" w:color="000000"/>
              <w:bottom w:val="nil"/>
              <w:right w:val="single" w:sz="4" w:space="0" w:color="000000"/>
            </w:tcBorders>
          </w:tcPr>
          <w:p>
            <w:pPr>
              <w:pStyle w:val="TableParagraph"/>
              <w:spacing w:line="245" w:lineRule="exact"/>
              <w:ind w:left="117"/>
              <w:rPr>
                <w:sz w:val="21"/>
              </w:rPr>
            </w:pPr>
            <w:r>
              <w:rPr>
                <w:spacing w:val="-11"/>
                <w:sz w:val="21"/>
              </w:rPr>
              <w:t>置操作权限，打通数据接口进行数据融</w:t>
            </w:r>
          </w:p>
          <w:p>
            <w:pPr>
              <w:pStyle w:val="TableParagraph"/>
              <w:spacing w:line="236" w:lineRule="exact" w:before="2"/>
              <w:ind w:left="117"/>
              <w:rPr>
                <w:sz w:val="21"/>
              </w:rPr>
            </w:pPr>
            <w:r>
              <w:rPr>
                <w:spacing w:val="-11"/>
                <w:sz w:val="21"/>
              </w:rPr>
              <w:t>合，达到统一平台入口进行所有服务调</w:t>
            </w:r>
          </w:p>
        </w:tc>
        <w:tc>
          <w:tcPr>
            <w:tcW w:w="994" w:type="dxa"/>
            <w:tcBorders>
              <w:top w:val="nil"/>
              <w:left w:val="single" w:sz="4" w:space="0" w:color="000000"/>
              <w:bottom w:val="nil"/>
              <w:right w:val="single" w:sz="4" w:space="0" w:color="000000"/>
            </w:tcBorders>
          </w:tcPr>
          <w:p>
            <w:pPr>
              <w:pStyle w:val="TableParagraph"/>
              <w:rPr>
                <w:rFonts w:ascii="Times New Roman"/>
                <w:sz w:val="20"/>
              </w:rPr>
            </w:pPr>
          </w:p>
        </w:tc>
        <w:tc>
          <w:tcPr>
            <w:tcW w:w="1167" w:type="dxa"/>
            <w:tcBorders>
              <w:top w:val="nil"/>
              <w:left w:val="single" w:sz="4" w:space="0" w:color="000000"/>
              <w:bottom w:val="nil"/>
            </w:tcBorders>
          </w:tcPr>
          <w:p>
            <w:pPr>
              <w:pStyle w:val="TableParagraph"/>
              <w:rPr>
                <w:rFonts w:ascii="Times New Roman"/>
                <w:sz w:val="20"/>
              </w:rPr>
            </w:pPr>
          </w:p>
        </w:tc>
      </w:tr>
      <w:tr>
        <w:trPr>
          <w:trHeight w:val="602" w:hRule="atLeast"/>
        </w:trPr>
        <w:tc>
          <w:tcPr>
            <w:tcW w:w="636" w:type="dxa"/>
            <w:tcBorders>
              <w:top w:val="nil"/>
              <w:right w:val="single" w:sz="4" w:space="0" w:color="000000"/>
            </w:tcBorders>
          </w:tcPr>
          <w:p>
            <w:pPr>
              <w:pStyle w:val="TableParagraph"/>
              <w:rPr>
                <w:rFonts w:ascii="Times New Roman"/>
                <w:sz w:val="20"/>
              </w:rPr>
            </w:pPr>
          </w:p>
        </w:tc>
        <w:tc>
          <w:tcPr>
            <w:tcW w:w="775" w:type="dxa"/>
            <w:vMerge/>
            <w:tcBorders>
              <w:top w:val="nil"/>
              <w:left w:val="single" w:sz="4" w:space="0" w:color="000000"/>
              <w:right w:val="single" w:sz="4" w:space="0" w:color="000000"/>
            </w:tcBorders>
          </w:tcPr>
          <w:p>
            <w:pPr>
              <w:rPr>
                <w:sz w:val="2"/>
                <w:szCs w:val="2"/>
              </w:rPr>
            </w:pPr>
          </w:p>
        </w:tc>
        <w:tc>
          <w:tcPr>
            <w:tcW w:w="1723" w:type="dxa"/>
            <w:tcBorders>
              <w:top w:val="nil"/>
              <w:left w:val="single" w:sz="4" w:space="0" w:color="000000"/>
              <w:right w:val="single" w:sz="4" w:space="0" w:color="000000"/>
            </w:tcBorders>
          </w:tcPr>
          <w:p>
            <w:pPr>
              <w:pStyle w:val="TableParagraph"/>
              <w:rPr>
                <w:rFonts w:ascii="Times New Roman"/>
                <w:sz w:val="20"/>
              </w:rPr>
            </w:pPr>
          </w:p>
        </w:tc>
        <w:tc>
          <w:tcPr>
            <w:tcW w:w="5064" w:type="dxa"/>
            <w:tcBorders>
              <w:top w:val="nil"/>
              <w:left w:val="single" w:sz="4" w:space="0" w:color="000000"/>
              <w:right w:val="single" w:sz="4" w:space="0" w:color="000000"/>
            </w:tcBorders>
          </w:tcPr>
          <w:p>
            <w:pPr>
              <w:pStyle w:val="TableParagraph"/>
              <w:rPr>
                <w:rFonts w:ascii="Times New Roman"/>
                <w:sz w:val="20"/>
              </w:rPr>
            </w:pPr>
          </w:p>
        </w:tc>
        <w:tc>
          <w:tcPr>
            <w:tcW w:w="3708" w:type="dxa"/>
            <w:tcBorders>
              <w:top w:val="nil"/>
              <w:left w:val="single" w:sz="4" w:space="0" w:color="000000"/>
              <w:right w:val="single" w:sz="4" w:space="0" w:color="000000"/>
            </w:tcBorders>
          </w:tcPr>
          <w:p>
            <w:pPr>
              <w:pStyle w:val="TableParagraph"/>
              <w:spacing w:line="257" w:lineRule="exact"/>
              <w:ind w:left="117"/>
              <w:rPr>
                <w:sz w:val="21"/>
              </w:rPr>
            </w:pPr>
            <w:r>
              <w:rPr>
                <w:sz w:val="21"/>
              </w:rPr>
              <w:t>用的目标。</w:t>
            </w:r>
          </w:p>
        </w:tc>
        <w:tc>
          <w:tcPr>
            <w:tcW w:w="994" w:type="dxa"/>
            <w:tcBorders>
              <w:top w:val="nil"/>
              <w:left w:val="single" w:sz="4" w:space="0" w:color="000000"/>
              <w:right w:val="single" w:sz="4" w:space="0" w:color="000000"/>
            </w:tcBorders>
          </w:tcPr>
          <w:p>
            <w:pPr>
              <w:pStyle w:val="TableParagraph"/>
              <w:rPr>
                <w:rFonts w:ascii="Times New Roman"/>
                <w:sz w:val="20"/>
              </w:rPr>
            </w:pPr>
          </w:p>
        </w:tc>
        <w:tc>
          <w:tcPr>
            <w:tcW w:w="1167" w:type="dxa"/>
            <w:tcBorders>
              <w:top w:val="nil"/>
              <w:left w:val="single" w:sz="4" w:space="0" w:color="000000"/>
            </w:tcBorders>
          </w:tcPr>
          <w:p>
            <w:pPr>
              <w:pStyle w:val="TableParagraph"/>
              <w:rPr>
                <w:rFonts w:ascii="Times New Roman"/>
                <w:sz w:val="20"/>
              </w:rPr>
            </w:pPr>
          </w:p>
        </w:tc>
      </w:tr>
    </w:tbl>
    <w:p>
      <w:pPr>
        <w:spacing w:line="253" w:lineRule="exact" w:before="0"/>
        <w:ind w:left="119" w:right="0" w:firstLine="0"/>
        <w:jc w:val="left"/>
        <w:rPr>
          <w:sz w:val="21"/>
        </w:rPr>
      </w:pPr>
      <w:r>
        <w:rPr>
          <w:sz w:val="21"/>
        </w:rPr>
        <w:t>说明：</w:t>
      </w:r>
    </w:p>
    <w:p>
      <w:pPr>
        <w:pStyle w:val="ListParagraph"/>
        <w:numPr>
          <w:ilvl w:val="0"/>
          <w:numId w:val="7"/>
        </w:numPr>
        <w:tabs>
          <w:tab w:pos="753" w:val="left" w:leader="none"/>
        </w:tabs>
        <w:spacing w:line="240" w:lineRule="auto" w:before="91" w:after="0"/>
        <w:ind w:left="752" w:right="0" w:hanging="214"/>
        <w:jc w:val="left"/>
        <w:rPr>
          <w:sz w:val="21"/>
        </w:rPr>
      </w:pPr>
      <w:r>
        <w:rPr>
          <w:spacing w:val="-3"/>
          <w:sz w:val="21"/>
        </w:rPr>
        <w:t>该目录中的所有具体表述以“广东省工业互联网应用服务平台”上的版本为准。</w:t>
      </w:r>
    </w:p>
    <w:p>
      <w:pPr>
        <w:pStyle w:val="ListParagraph"/>
        <w:numPr>
          <w:ilvl w:val="0"/>
          <w:numId w:val="7"/>
        </w:numPr>
        <w:tabs>
          <w:tab w:pos="753" w:val="left" w:leader="none"/>
        </w:tabs>
        <w:spacing w:line="240" w:lineRule="auto" w:before="91" w:after="0"/>
        <w:ind w:left="752" w:right="0" w:hanging="214"/>
        <w:jc w:val="left"/>
        <w:rPr>
          <w:sz w:val="21"/>
        </w:rPr>
      </w:pPr>
      <w:r>
        <w:rPr>
          <w:spacing w:val="-3"/>
          <w:sz w:val="21"/>
        </w:rPr>
        <w:t>备注中规定了单台设备补贴金额的，在服务券申请兑现时，实际接入设备数应大于或等于</w:t>
      </w:r>
      <w:r>
        <w:rPr>
          <w:sz w:val="21"/>
        </w:rPr>
        <w:t>（</w:t>
      </w:r>
      <w:r>
        <w:rPr>
          <w:spacing w:val="-3"/>
          <w:sz w:val="21"/>
        </w:rPr>
        <w:t>服务券金额/单台设备补贴金额</w:t>
      </w:r>
      <w:r>
        <w:rPr>
          <w:spacing w:val="-109"/>
          <w:sz w:val="21"/>
        </w:rPr>
        <w:t>）</w:t>
      </w:r>
      <w:r>
        <w:rPr>
          <w:sz w:val="21"/>
        </w:rPr>
        <w:t>。</w:t>
      </w:r>
    </w:p>
    <w:p>
      <w:pPr>
        <w:pStyle w:val="ListParagraph"/>
        <w:numPr>
          <w:ilvl w:val="0"/>
          <w:numId w:val="7"/>
        </w:numPr>
        <w:tabs>
          <w:tab w:pos="753" w:val="left" w:leader="none"/>
        </w:tabs>
        <w:spacing w:line="240" w:lineRule="auto" w:before="91" w:after="0"/>
        <w:ind w:left="752" w:right="0" w:hanging="214"/>
        <w:jc w:val="left"/>
        <w:rPr>
          <w:sz w:val="21"/>
        </w:rPr>
      </w:pPr>
      <w:r>
        <w:rPr>
          <w:spacing w:val="-6"/>
          <w:sz w:val="21"/>
        </w:rPr>
        <w:t>本服务券发放周期内，单家企业奖补总额上限为 </w:t>
      </w:r>
      <w:r>
        <w:rPr>
          <w:sz w:val="21"/>
        </w:rPr>
        <w:t>30</w:t>
      </w:r>
      <w:r>
        <w:rPr>
          <w:spacing w:val="-15"/>
          <w:sz w:val="21"/>
        </w:rPr>
        <w:t> 万元。</w:t>
      </w:r>
    </w:p>
    <w:p>
      <w:pPr>
        <w:spacing w:after="0" w:line="240" w:lineRule="auto"/>
        <w:jc w:val="left"/>
        <w:rPr>
          <w:sz w:val="21"/>
        </w:rPr>
        <w:sectPr>
          <w:pgSz w:w="16840" w:h="11900" w:orient="landscape"/>
          <w:pgMar w:header="0" w:footer="1237" w:top="1100" w:bottom="1420" w:left="1320" w:right="1200"/>
        </w:sectPr>
      </w:pPr>
    </w:p>
    <w:p>
      <w:pPr>
        <w:pStyle w:val="BodyText"/>
        <w:spacing w:before="4"/>
        <w:rPr>
          <w:rFonts w:ascii="Times New Roman"/>
          <w:sz w:val="17"/>
        </w:rPr>
      </w:pPr>
    </w:p>
    <w:p>
      <w:pPr>
        <w:spacing w:after="0"/>
        <w:rPr>
          <w:rFonts w:ascii="Times New Roman"/>
          <w:sz w:val="17"/>
        </w:rPr>
        <w:sectPr>
          <w:footerReference w:type="default" r:id="rId27"/>
          <w:pgSz w:w="11900" w:h="16840"/>
          <w:pgMar w:footer="0" w:header="0" w:top="1600" w:bottom="280" w:left="14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3"/>
        </w:rPr>
      </w:pPr>
    </w:p>
    <w:p>
      <w:pPr>
        <w:pStyle w:val="BodyText"/>
        <w:spacing w:before="54"/>
        <w:ind w:left="108"/>
      </w:pPr>
      <w:r>
        <w:rPr/>
        <w:t>公开方式：主动公开</w:t>
      </w:r>
    </w:p>
    <w:sectPr>
      <w:footerReference w:type="even" r:id="rId28"/>
      <w:pgSz w:w="11900" w:h="16840"/>
      <w:pgMar w:footer="0" w:header="0" w:top="1600" w:bottom="280" w:left="14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86"/>
    <w:family w:val="swiss"/>
    <w:pitch w:val="variable"/>
  </w:font>
  <w:font w:name="宋体">
    <w:altName w:val="宋体"/>
    <w:charset w:val="86"/>
    <w:family w:val="auto"/>
    <w:pitch w:val="variable"/>
  </w:font>
  <w:font w:name="方正小标宋简体">
    <w:altName w:val="方正小标宋简体"/>
    <w:charset w:val="86"/>
    <w:family w:val="auto"/>
    <w:pitch w:val="variable"/>
  </w:font>
  <w:font w:name="思源黑体 CN Bold">
    <w:altName w:val="思源黑体 CN Bold"/>
    <w:charset w:val="8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8.439972pt;margin-top:764.774231pt;width:51.1pt;height:16.05pt;mso-position-horizontal-relative:page;mso-position-vertical-relative:page;z-index:-254751744"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8"/>
                  </w:rPr>
                  <w:instrText> PAGE </w:instrText>
                </w:r>
                <w:r>
                  <w:rPr/>
                  <w:fldChar w:fldCharType="separate"/>
                </w:r>
                <w:r>
                  <w:rPr/>
                  <w:t>2</w:t>
                </w:r>
                <w:r>
                  <w:rPr/>
                  <w:fldChar w:fldCharType="end"/>
                </w:r>
                <w:r>
                  <w:rPr>
                    <w:sz w:val="28"/>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1.67981pt;margin-top:764.774231pt;width:51.1pt;height:16.05pt;mso-position-horizontal-relative:page;mso-position-vertical-relative:page;z-index:-254750720"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8"/>
                  </w:rPr>
                  <w:instrText> PAGE </w:instrText>
                </w:r>
                <w:r>
                  <w:rPr/>
                  <w:fldChar w:fldCharType="separate"/>
                </w:r>
                <w:r>
                  <w:rPr/>
                  <w:t>3</w:t>
                </w:r>
                <w:r>
                  <w:rPr/>
                  <w:fldChar w:fldCharType="end"/>
                </w:r>
                <w:r>
                  <w:rPr>
                    <w:sz w:val="28"/>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439972pt;margin-top:764.774231pt;width:58.2pt;height:16.05pt;mso-position-horizontal-relative:page;mso-position-vertical-relative:page;z-index:-254749696"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8"/>
                  </w:rPr>
                  <w:instrText> PAGE </w:instrText>
                </w:r>
                <w:r>
                  <w:rPr/>
                  <w:fldChar w:fldCharType="separate"/>
                </w:r>
                <w:r>
                  <w:rPr/>
                  <w:t>10</w:t>
                </w:r>
                <w:r>
                  <w:rPr/>
                  <w:fldChar w:fldCharType="end"/>
                </w:r>
                <w:r>
                  <w:rPr>
                    <w:sz w:val="28"/>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4.599823pt;margin-top:764.774231pt;width:58.2pt;height:16.05pt;mso-position-horizontal-relative:page;mso-position-vertical-relative:page;z-index:-254748672"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8"/>
                  </w:rPr>
                  <w:instrText> PAGE </w:instrText>
                </w:r>
                <w:r>
                  <w:rPr/>
                  <w:fldChar w:fldCharType="separate"/>
                </w:r>
                <w:r>
                  <w:rPr/>
                  <w:t>11</w:t>
                </w:r>
                <w:r>
                  <w:rPr/>
                  <w:fldChar w:fldCharType="end"/>
                </w:r>
                <w:r>
                  <w:rPr>
                    <w:sz w:val="28"/>
                  </w:rPr>
                  <w:t> —</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4.990723pt;margin-top:518.174194pt;width:58.2pt;height:16.05pt;mso-position-horizontal-relative:page;mso-position-vertical-relative:page;z-index:-254747648"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8"/>
                  </w:rPr>
                  <w:instrText> PAGE </w:instrText>
                </w:r>
                <w:r>
                  <w:rPr/>
                  <w:fldChar w:fldCharType="separate"/>
                </w:r>
                <w:r>
                  <w:rPr/>
                  <w:t>15</w:t>
                </w:r>
                <w:r>
                  <w:rPr/>
                  <w:fldChar w:fldCharType="end"/>
                </w:r>
                <w:r>
                  <w:rPr>
                    <w:sz w:val="28"/>
                  </w:rPr>
                  <w:t> —</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990570pt;margin-top:518.174194pt;width:58.2pt;height:16.05pt;mso-position-horizontal-relative:page;mso-position-vertical-relative:page;z-index:-254746624"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8"/>
                  </w:rPr>
                  <w:instrText> PAGE </w:instrText>
                </w:r>
                <w:r>
                  <w:rPr/>
                  <w:fldChar w:fldCharType="separate"/>
                </w:r>
                <w:r>
                  <w:rPr/>
                  <w:t>16</w:t>
                </w:r>
                <w:r>
                  <w:rPr/>
                  <w:fldChar w:fldCharType="end"/>
                </w:r>
                <w:r>
                  <w:rPr>
                    <w:sz w:val="28"/>
                  </w:rPr>
                  <w:t> —</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990570pt;margin-top:518.174194pt;width:58.2pt;height:16.05pt;mso-position-horizontal-relative:page;mso-position-vertical-relative:page;z-index:-254745600"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8"/>
                  </w:rPr>
                  <w:instrText> PAGE </w:instrText>
                </w:r>
                <w:r>
                  <w:rPr/>
                  <w:fldChar w:fldCharType="separate"/>
                </w:r>
                <w:r>
                  <w:rPr/>
                  <w:t>20</w:t>
                </w:r>
                <w:r>
                  <w:rPr/>
                  <w:fldChar w:fldCharType="end"/>
                </w:r>
                <w:r>
                  <w:rPr>
                    <w:sz w:val="28"/>
                  </w:rPr>
                  <w:t> —</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4.990723pt;margin-top:518.174194pt;width:58.2pt;height:16.05pt;mso-position-horizontal-relative:page;mso-position-vertical-relative:page;z-index:-254744576"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8"/>
                  </w:rPr>
                  <w:instrText> PAGE </w:instrText>
                </w:r>
                <w:r>
                  <w:rPr/>
                  <w:fldChar w:fldCharType="separate"/>
                </w:r>
                <w:r>
                  <w:rPr/>
                  <w:t>21</w:t>
                </w:r>
                <w:r>
                  <w:rPr/>
                  <w:fldChar w:fldCharType="end"/>
                </w:r>
                <w:r>
                  <w:rPr>
                    <w:sz w:val="28"/>
                  </w:rPr>
                  <w:t> —</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91" w:hanging="242"/>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2250" w:hanging="242"/>
      </w:pPr>
      <w:rPr>
        <w:rFonts w:hint="default"/>
        <w:lang w:val="zh-CN" w:eastAsia="zh-CN" w:bidi="zh-CN"/>
      </w:rPr>
    </w:lvl>
    <w:lvl w:ilvl="2">
      <w:start w:val="0"/>
      <w:numFmt w:val="bullet"/>
      <w:lvlText w:val="•"/>
      <w:lvlJc w:val="left"/>
      <w:pPr>
        <w:ind w:left="3100" w:hanging="242"/>
      </w:pPr>
      <w:rPr>
        <w:rFonts w:hint="default"/>
        <w:lang w:val="zh-CN" w:eastAsia="zh-CN" w:bidi="zh-CN"/>
      </w:rPr>
    </w:lvl>
    <w:lvl w:ilvl="3">
      <w:start w:val="0"/>
      <w:numFmt w:val="bullet"/>
      <w:lvlText w:val="•"/>
      <w:lvlJc w:val="left"/>
      <w:pPr>
        <w:ind w:left="3950" w:hanging="242"/>
      </w:pPr>
      <w:rPr>
        <w:rFonts w:hint="default"/>
        <w:lang w:val="zh-CN" w:eastAsia="zh-CN" w:bidi="zh-CN"/>
      </w:rPr>
    </w:lvl>
    <w:lvl w:ilvl="4">
      <w:start w:val="0"/>
      <w:numFmt w:val="bullet"/>
      <w:lvlText w:val="•"/>
      <w:lvlJc w:val="left"/>
      <w:pPr>
        <w:ind w:left="4800" w:hanging="242"/>
      </w:pPr>
      <w:rPr>
        <w:rFonts w:hint="default"/>
        <w:lang w:val="zh-CN" w:eastAsia="zh-CN" w:bidi="zh-CN"/>
      </w:rPr>
    </w:lvl>
    <w:lvl w:ilvl="5">
      <w:start w:val="0"/>
      <w:numFmt w:val="bullet"/>
      <w:lvlText w:val="•"/>
      <w:lvlJc w:val="left"/>
      <w:pPr>
        <w:ind w:left="5650" w:hanging="242"/>
      </w:pPr>
      <w:rPr>
        <w:rFonts w:hint="default"/>
        <w:lang w:val="zh-CN" w:eastAsia="zh-CN" w:bidi="zh-CN"/>
      </w:rPr>
    </w:lvl>
    <w:lvl w:ilvl="6">
      <w:start w:val="0"/>
      <w:numFmt w:val="bullet"/>
      <w:lvlText w:val="•"/>
      <w:lvlJc w:val="left"/>
      <w:pPr>
        <w:ind w:left="6500" w:hanging="242"/>
      </w:pPr>
      <w:rPr>
        <w:rFonts w:hint="default"/>
        <w:lang w:val="zh-CN" w:eastAsia="zh-CN" w:bidi="zh-CN"/>
      </w:rPr>
    </w:lvl>
    <w:lvl w:ilvl="7">
      <w:start w:val="0"/>
      <w:numFmt w:val="bullet"/>
      <w:lvlText w:val="•"/>
      <w:lvlJc w:val="left"/>
      <w:pPr>
        <w:ind w:left="7350" w:hanging="242"/>
      </w:pPr>
      <w:rPr>
        <w:rFonts w:hint="default"/>
        <w:lang w:val="zh-CN" w:eastAsia="zh-CN" w:bidi="zh-CN"/>
      </w:rPr>
    </w:lvl>
    <w:lvl w:ilvl="8">
      <w:start w:val="0"/>
      <w:numFmt w:val="bullet"/>
      <w:lvlText w:val="•"/>
      <w:lvlJc w:val="left"/>
      <w:pPr>
        <w:ind w:left="8200" w:hanging="242"/>
      </w:pPr>
      <w:rPr>
        <w:rFonts w:hint="default"/>
        <w:lang w:val="zh-CN" w:eastAsia="zh-CN" w:bidi="zh-CN"/>
      </w:rPr>
    </w:lvl>
  </w:abstractNum>
  <w:abstractNum w:abstractNumId="6">
    <w:multiLevelType w:val="hybridMultilevel"/>
    <w:lvl w:ilvl="0">
      <w:start w:val="1"/>
      <w:numFmt w:val="decimal"/>
      <w:lvlText w:val="%1."/>
      <w:lvlJc w:val="left"/>
      <w:pPr>
        <w:ind w:left="752" w:hanging="213"/>
        <w:jc w:val="left"/>
      </w:pPr>
      <w:rPr>
        <w:rFonts w:hint="default" w:ascii="宋体" w:hAnsi="宋体" w:eastAsia="宋体" w:cs="宋体"/>
        <w:spacing w:val="-1"/>
        <w:w w:val="100"/>
        <w:sz w:val="19"/>
        <w:szCs w:val="19"/>
        <w:lang w:val="zh-CN" w:eastAsia="zh-CN" w:bidi="zh-CN"/>
      </w:rPr>
    </w:lvl>
    <w:lvl w:ilvl="1">
      <w:start w:val="0"/>
      <w:numFmt w:val="bullet"/>
      <w:lvlText w:val="•"/>
      <w:lvlJc w:val="left"/>
      <w:pPr>
        <w:ind w:left="2116" w:hanging="213"/>
      </w:pPr>
      <w:rPr>
        <w:rFonts w:hint="default"/>
        <w:lang w:val="zh-CN" w:eastAsia="zh-CN" w:bidi="zh-CN"/>
      </w:rPr>
    </w:lvl>
    <w:lvl w:ilvl="2">
      <w:start w:val="0"/>
      <w:numFmt w:val="bullet"/>
      <w:lvlText w:val="•"/>
      <w:lvlJc w:val="left"/>
      <w:pPr>
        <w:ind w:left="3472" w:hanging="213"/>
      </w:pPr>
      <w:rPr>
        <w:rFonts w:hint="default"/>
        <w:lang w:val="zh-CN" w:eastAsia="zh-CN" w:bidi="zh-CN"/>
      </w:rPr>
    </w:lvl>
    <w:lvl w:ilvl="3">
      <w:start w:val="0"/>
      <w:numFmt w:val="bullet"/>
      <w:lvlText w:val="•"/>
      <w:lvlJc w:val="left"/>
      <w:pPr>
        <w:ind w:left="4828" w:hanging="213"/>
      </w:pPr>
      <w:rPr>
        <w:rFonts w:hint="default"/>
        <w:lang w:val="zh-CN" w:eastAsia="zh-CN" w:bidi="zh-CN"/>
      </w:rPr>
    </w:lvl>
    <w:lvl w:ilvl="4">
      <w:start w:val="0"/>
      <w:numFmt w:val="bullet"/>
      <w:lvlText w:val="•"/>
      <w:lvlJc w:val="left"/>
      <w:pPr>
        <w:ind w:left="6184" w:hanging="213"/>
      </w:pPr>
      <w:rPr>
        <w:rFonts w:hint="default"/>
        <w:lang w:val="zh-CN" w:eastAsia="zh-CN" w:bidi="zh-CN"/>
      </w:rPr>
    </w:lvl>
    <w:lvl w:ilvl="5">
      <w:start w:val="0"/>
      <w:numFmt w:val="bullet"/>
      <w:lvlText w:val="•"/>
      <w:lvlJc w:val="left"/>
      <w:pPr>
        <w:ind w:left="7540" w:hanging="213"/>
      </w:pPr>
      <w:rPr>
        <w:rFonts w:hint="default"/>
        <w:lang w:val="zh-CN" w:eastAsia="zh-CN" w:bidi="zh-CN"/>
      </w:rPr>
    </w:lvl>
    <w:lvl w:ilvl="6">
      <w:start w:val="0"/>
      <w:numFmt w:val="bullet"/>
      <w:lvlText w:val="•"/>
      <w:lvlJc w:val="left"/>
      <w:pPr>
        <w:ind w:left="8896" w:hanging="213"/>
      </w:pPr>
      <w:rPr>
        <w:rFonts w:hint="default"/>
        <w:lang w:val="zh-CN" w:eastAsia="zh-CN" w:bidi="zh-CN"/>
      </w:rPr>
    </w:lvl>
    <w:lvl w:ilvl="7">
      <w:start w:val="0"/>
      <w:numFmt w:val="bullet"/>
      <w:lvlText w:val="•"/>
      <w:lvlJc w:val="left"/>
      <w:pPr>
        <w:ind w:left="10252" w:hanging="213"/>
      </w:pPr>
      <w:rPr>
        <w:rFonts w:hint="default"/>
        <w:lang w:val="zh-CN" w:eastAsia="zh-CN" w:bidi="zh-CN"/>
      </w:rPr>
    </w:lvl>
    <w:lvl w:ilvl="8">
      <w:start w:val="0"/>
      <w:numFmt w:val="bullet"/>
      <w:lvlText w:val="•"/>
      <w:lvlJc w:val="left"/>
      <w:pPr>
        <w:ind w:left="11608" w:hanging="213"/>
      </w:pPr>
      <w:rPr>
        <w:rFonts w:hint="default"/>
        <w:lang w:val="zh-CN" w:eastAsia="zh-CN" w:bidi="zh-CN"/>
      </w:rPr>
    </w:lvl>
  </w:abstractNum>
  <w:abstractNum w:abstractNumId="5">
    <w:multiLevelType w:val="hybridMultilevel"/>
    <w:lvl w:ilvl="0">
      <w:start w:val="1"/>
      <w:numFmt w:val="decimal"/>
      <w:lvlText w:val="%1."/>
      <w:lvlJc w:val="left"/>
      <w:pPr>
        <w:ind w:left="508" w:hanging="242"/>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440" w:hanging="242"/>
      </w:pPr>
      <w:rPr>
        <w:rFonts w:hint="default"/>
        <w:lang w:val="zh-CN" w:eastAsia="zh-CN" w:bidi="zh-CN"/>
      </w:rPr>
    </w:lvl>
    <w:lvl w:ilvl="2">
      <w:start w:val="0"/>
      <w:numFmt w:val="bullet"/>
      <w:lvlText w:val="•"/>
      <w:lvlJc w:val="left"/>
      <w:pPr>
        <w:ind w:left="2380" w:hanging="242"/>
      </w:pPr>
      <w:rPr>
        <w:rFonts w:hint="default"/>
        <w:lang w:val="zh-CN" w:eastAsia="zh-CN" w:bidi="zh-CN"/>
      </w:rPr>
    </w:lvl>
    <w:lvl w:ilvl="3">
      <w:start w:val="0"/>
      <w:numFmt w:val="bullet"/>
      <w:lvlText w:val="•"/>
      <w:lvlJc w:val="left"/>
      <w:pPr>
        <w:ind w:left="3320" w:hanging="242"/>
      </w:pPr>
      <w:rPr>
        <w:rFonts w:hint="default"/>
        <w:lang w:val="zh-CN" w:eastAsia="zh-CN" w:bidi="zh-CN"/>
      </w:rPr>
    </w:lvl>
    <w:lvl w:ilvl="4">
      <w:start w:val="0"/>
      <w:numFmt w:val="bullet"/>
      <w:lvlText w:val="•"/>
      <w:lvlJc w:val="left"/>
      <w:pPr>
        <w:ind w:left="4260" w:hanging="242"/>
      </w:pPr>
      <w:rPr>
        <w:rFonts w:hint="default"/>
        <w:lang w:val="zh-CN" w:eastAsia="zh-CN" w:bidi="zh-CN"/>
      </w:rPr>
    </w:lvl>
    <w:lvl w:ilvl="5">
      <w:start w:val="0"/>
      <w:numFmt w:val="bullet"/>
      <w:lvlText w:val="•"/>
      <w:lvlJc w:val="left"/>
      <w:pPr>
        <w:ind w:left="5200" w:hanging="242"/>
      </w:pPr>
      <w:rPr>
        <w:rFonts w:hint="default"/>
        <w:lang w:val="zh-CN" w:eastAsia="zh-CN" w:bidi="zh-CN"/>
      </w:rPr>
    </w:lvl>
    <w:lvl w:ilvl="6">
      <w:start w:val="0"/>
      <w:numFmt w:val="bullet"/>
      <w:lvlText w:val="•"/>
      <w:lvlJc w:val="left"/>
      <w:pPr>
        <w:ind w:left="6140" w:hanging="242"/>
      </w:pPr>
      <w:rPr>
        <w:rFonts w:hint="default"/>
        <w:lang w:val="zh-CN" w:eastAsia="zh-CN" w:bidi="zh-CN"/>
      </w:rPr>
    </w:lvl>
    <w:lvl w:ilvl="7">
      <w:start w:val="0"/>
      <w:numFmt w:val="bullet"/>
      <w:lvlText w:val="•"/>
      <w:lvlJc w:val="left"/>
      <w:pPr>
        <w:ind w:left="7080" w:hanging="242"/>
      </w:pPr>
      <w:rPr>
        <w:rFonts w:hint="default"/>
        <w:lang w:val="zh-CN" w:eastAsia="zh-CN" w:bidi="zh-CN"/>
      </w:rPr>
    </w:lvl>
    <w:lvl w:ilvl="8">
      <w:start w:val="0"/>
      <w:numFmt w:val="bullet"/>
      <w:lvlText w:val="•"/>
      <w:lvlJc w:val="left"/>
      <w:pPr>
        <w:ind w:left="8020" w:hanging="242"/>
      </w:pPr>
      <w:rPr>
        <w:rFonts w:hint="default"/>
        <w:lang w:val="zh-CN" w:eastAsia="zh-CN" w:bidi="zh-CN"/>
      </w:rPr>
    </w:lvl>
  </w:abstractNum>
  <w:abstractNum w:abstractNumId="4">
    <w:multiLevelType w:val="hybridMultilevel"/>
    <w:lvl w:ilvl="0">
      <w:start w:val="1"/>
      <w:numFmt w:val="decimal"/>
      <w:lvlText w:val="%1."/>
      <w:lvlJc w:val="left"/>
      <w:pPr>
        <w:ind w:left="508" w:hanging="242"/>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440" w:hanging="242"/>
      </w:pPr>
      <w:rPr>
        <w:rFonts w:hint="default"/>
        <w:lang w:val="zh-CN" w:eastAsia="zh-CN" w:bidi="zh-CN"/>
      </w:rPr>
    </w:lvl>
    <w:lvl w:ilvl="2">
      <w:start w:val="0"/>
      <w:numFmt w:val="bullet"/>
      <w:lvlText w:val="•"/>
      <w:lvlJc w:val="left"/>
      <w:pPr>
        <w:ind w:left="2380" w:hanging="242"/>
      </w:pPr>
      <w:rPr>
        <w:rFonts w:hint="default"/>
        <w:lang w:val="zh-CN" w:eastAsia="zh-CN" w:bidi="zh-CN"/>
      </w:rPr>
    </w:lvl>
    <w:lvl w:ilvl="3">
      <w:start w:val="0"/>
      <w:numFmt w:val="bullet"/>
      <w:lvlText w:val="•"/>
      <w:lvlJc w:val="left"/>
      <w:pPr>
        <w:ind w:left="3320" w:hanging="242"/>
      </w:pPr>
      <w:rPr>
        <w:rFonts w:hint="default"/>
        <w:lang w:val="zh-CN" w:eastAsia="zh-CN" w:bidi="zh-CN"/>
      </w:rPr>
    </w:lvl>
    <w:lvl w:ilvl="4">
      <w:start w:val="0"/>
      <w:numFmt w:val="bullet"/>
      <w:lvlText w:val="•"/>
      <w:lvlJc w:val="left"/>
      <w:pPr>
        <w:ind w:left="4260" w:hanging="242"/>
      </w:pPr>
      <w:rPr>
        <w:rFonts w:hint="default"/>
        <w:lang w:val="zh-CN" w:eastAsia="zh-CN" w:bidi="zh-CN"/>
      </w:rPr>
    </w:lvl>
    <w:lvl w:ilvl="5">
      <w:start w:val="0"/>
      <w:numFmt w:val="bullet"/>
      <w:lvlText w:val="•"/>
      <w:lvlJc w:val="left"/>
      <w:pPr>
        <w:ind w:left="5200" w:hanging="242"/>
      </w:pPr>
      <w:rPr>
        <w:rFonts w:hint="default"/>
        <w:lang w:val="zh-CN" w:eastAsia="zh-CN" w:bidi="zh-CN"/>
      </w:rPr>
    </w:lvl>
    <w:lvl w:ilvl="6">
      <w:start w:val="0"/>
      <w:numFmt w:val="bullet"/>
      <w:lvlText w:val="•"/>
      <w:lvlJc w:val="left"/>
      <w:pPr>
        <w:ind w:left="6140" w:hanging="242"/>
      </w:pPr>
      <w:rPr>
        <w:rFonts w:hint="default"/>
        <w:lang w:val="zh-CN" w:eastAsia="zh-CN" w:bidi="zh-CN"/>
      </w:rPr>
    </w:lvl>
    <w:lvl w:ilvl="7">
      <w:start w:val="0"/>
      <w:numFmt w:val="bullet"/>
      <w:lvlText w:val="•"/>
      <w:lvlJc w:val="left"/>
      <w:pPr>
        <w:ind w:left="7080" w:hanging="242"/>
      </w:pPr>
      <w:rPr>
        <w:rFonts w:hint="default"/>
        <w:lang w:val="zh-CN" w:eastAsia="zh-CN" w:bidi="zh-CN"/>
      </w:rPr>
    </w:lvl>
    <w:lvl w:ilvl="8">
      <w:start w:val="0"/>
      <w:numFmt w:val="bullet"/>
      <w:lvlText w:val="•"/>
      <w:lvlJc w:val="left"/>
      <w:pPr>
        <w:ind w:left="8020" w:hanging="242"/>
      </w:pPr>
      <w:rPr>
        <w:rFonts w:hint="default"/>
        <w:lang w:val="zh-CN" w:eastAsia="zh-CN" w:bidi="zh-CN"/>
      </w:rPr>
    </w:lvl>
  </w:abstractNum>
  <w:abstractNum w:abstractNumId="3">
    <w:multiLevelType w:val="hybridMultilevel"/>
    <w:lvl w:ilvl="0">
      <w:start w:val="1"/>
      <w:numFmt w:val="decimal"/>
      <w:lvlText w:val="（%1）"/>
      <w:lvlJc w:val="left"/>
      <w:pPr>
        <w:ind w:left="508" w:hanging="807"/>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440" w:hanging="807"/>
      </w:pPr>
      <w:rPr>
        <w:rFonts w:hint="default"/>
        <w:lang w:val="zh-CN" w:eastAsia="zh-CN" w:bidi="zh-CN"/>
      </w:rPr>
    </w:lvl>
    <w:lvl w:ilvl="2">
      <w:start w:val="0"/>
      <w:numFmt w:val="bullet"/>
      <w:lvlText w:val="•"/>
      <w:lvlJc w:val="left"/>
      <w:pPr>
        <w:ind w:left="2380" w:hanging="807"/>
      </w:pPr>
      <w:rPr>
        <w:rFonts w:hint="default"/>
        <w:lang w:val="zh-CN" w:eastAsia="zh-CN" w:bidi="zh-CN"/>
      </w:rPr>
    </w:lvl>
    <w:lvl w:ilvl="3">
      <w:start w:val="0"/>
      <w:numFmt w:val="bullet"/>
      <w:lvlText w:val="•"/>
      <w:lvlJc w:val="left"/>
      <w:pPr>
        <w:ind w:left="3320" w:hanging="807"/>
      </w:pPr>
      <w:rPr>
        <w:rFonts w:hint="default"/>
        <w:lang w:val="zh-CN" w:eastAsia="zh-CN" w:bidi="zh-CN"/>
      </w:rPr>
    </w:lvl>
    <w:lvl w:ilvl="4">
      <w:start w:val="0"/>
      <w:numFmt w:val="bullet"/>
      <w:lvlText w:val="•"/>
      <w:lvlJc w:val="left"/>
      <w:pPr>
        <w:ind w:left="4260" w:hanging="807"/>
      </w:pPr>
      <w:rPr>
        <w:rFonts w:hint="default"/>
        <w:lang w:val="zh-CN" w:eastAsia="zh-CN" w:bidi="zh-CN"/>
      </w:rPr>
    </w:lvl>
    <w:lvl w:ilvl="5">
      <w:start w:val="0"/>
      <w:numFmt w:val="bullet"/>
      <w:lvlText w:val="•"/>
      <w:lvlJc w:val="left"/>
      <w:pPr>
        <w:ind w:left="5200" w:hanging="807"/>
      </w:pPr>
      <w:rPr>
        <w:rFonts w:hint="default"/>
        <w:lang w:val="zh-CN" w:eastAsia="zh-CN" w:bidi="zh-CN"/>
      </w:rPr>
    </w:lvl>
    <w:lvl w:ilvl="6">
      <w:start w:val="0"/>
      <w:numFmt w:val="bullet"/>
      <w:lvlText w:val="•"/>
      <w:lvlJc w:val="left"/>
      <w:pPr>
        <w:ind w:left="6140" w:hanging="807"/>
      </w:pPr>
      <w:rPr>
        <w:rFonts w:hint="default"/>
        <w:lang w:val="zh-CN" w:eastAsia="zh-CN" w:bidi="zh-CN"/>
      </w:rPr>
    </w:lvl>
    <w:lvl w:ilvl="7">
      <w:start w:val="0"/>
      <w:numFmt w:val="bullet"/>
      <w:lvlText w:val="•"/>
      <w:lvlJc w:val="left"/>
      <w:pPr>
        <w:ind w:left="7080" w:hanging="807"/>
      </w:pPr>
      <w:rPr>
        <w:rFonts w:hint="default"/>
        <w:lang w:val="zh-CN" w:eastAsia="zh-CN" w:bidi="zh-CN"/>
      </w:rPr>
    </w:lvl>
    <w:lvl w:ilvl="8">
      <w:start w:val="0"/>
      <w:numFmt w:val="bullet"/>
      <w:lvlText w:val="•"/>
      <w:lvlJc w:val="left"/>
      <w:pPr>
        <w:ind w:left="8020" w:hanging="807"/>
      </w:pPr>
      <w:rPr>
        <w:rFonts w:hint="default"/>
        <w:lang w:val="zh-CN" w:eastAsia="zh-CN" w:bidi="zh-CN"/>
      </w:rPr>
    </w:lvl>
  </w:abstractNum>
  <w:abstractNum w:abstractNumId="2">
    <w:multiLevelType w:val="hybridMultilevel"/>
    <w:lvl w:ilvl="0">
      <w:start w:val="1"/>
      <w:numFmt w:val="decimal"/>
      <w:lvlText w:val="%1."/>
      <w:lvlJc w:val="left"/>
      <w:pPr>
        <w:ind w:left="508" w:hanging="242"/>
        <w:jc w:val="righ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440" w:hanging="242"/>
      </w:pPr>
      <w:rPr>
        <w:rFonts w:hint="default"/>
        <w:lang w:val="zh-CN" w:eastAsia="zh-CN" w:bidi="zh-CN"/>
      </w:rPr>
    </w:lvl>
    <w:lvl w:ilvl="2">
      <w:start w:val="0"/>
      <w:numFmt w:val="bullet"/>
      <w:lvlText w:val="•"/>
      <w:lvlJc w:val="left"/>
      <w:pPr>
        <w:ind w:left="2380" w:hanging="242"/>
      </w:pPr>
      <w:rPr>
        <w:rFonts w:hint="default"/>
        <w:lang w:val="zh-CN" w:eastAsia="zh-CN" w:bidi="zh-CN"/>
      </w:rPr>
    </w:lvl>
    <w:lvl w:ilvl="3">
      <w:start w:val="0"/>
      <w:numFmt w:val="bullet"/>
      <w:lvlText w:val="•"/>
      <w:lvlJc w:val="left"/>
      <w:pPr>
        <w:ind w:left="3320" w:hanging="242"/>
      </w:pPr>
      <w:rPr>
        <w:rFonts w:hint="default"/>
        <w:lang w:val="zh-CN" w:eastAsia="zh-CN" w:bidi="zh-CN"/>
      </w:rPr>
    </w:lvl>
    <w:lvl w:ilvl="4">
      <w:start w:val="0"/>
      <w:numFmt w:val="bullet"/>
      <w:lvlText w:val="•"/>
      <w:lvlJc w:val="left"/>
      <w:pPr>
        <w:ind w:left="4260" w:hanging="242"/>
      </w:pPr>
      <w:rPr>
        <w:rFonts w:hint="default"/>
        <w:lang w:val="zh-CN" w:eastAsia="zh-CN" w:bidi="zh-CN"/>
      </w:rPr>
    </w:lvl>
    <w:lvl w:ilvl="5">
      <w:start w:val="0"/>
      <w:numFmt w:val="bullet"/>
      <w:lvlText w:val="•"/>
      <w:lvlJc w:val="left"/>
      <w:pPr>
        <w:ind w:left="5200" w:hanging="242"/>
      </w:pPr>
      <w:rPr>
        <w:rFonts w:hint="default"/>
        <w:lang w:val="zh-CN" w:eastAsia="zh-CN" w:bidi="zh-CN"/>
      </w:rPr>
    </w:lvl>
    <w:lvl w:ilvl="6">
      <w:start w:val="0"/>
      <w:numFmt w:val="bullet"/>
      <w:lvlText w:val="•"/>
      <w:lvlJc w:val="left"/>
      <w:pPr>
        <w:ind w:left="6140" w:hanging="242"/>
      </w:pPr>
      <w:rPr>
        <w:rFonts w:hint="default"/>
        <w:lang w:val="zh-CN" w:eastAsia="zh-CN" w:bidi="zh-CN"/>
      </w:rPr>
    </w:lvl>
    <w:lvl w:ilvl="7">
      <w:start w:val="0"/>
      <w:numFmt w:val="bullet"/>
      <w:lvlText w:val="•"/>
      <w:lvlJc w:val="left"/>
      <w:pPr>
        <w:ind w:left="7080" w:hanging="242"/>
      </w:pPr>
      <w:rPr>
        <w:rFonts w:hint="default"/>
        <w:lang w:val="zh-CN" w:eastAsia="zh-CN" w:bidi="zh-CN"/>
      </w:rPr>
    </w:lvl>
    <w:lvl w:ilvl="8">
      <w:start w:val="0"/>
      <w:numFmt w:val="bullet"/>
      <w:lvlText w:val="•"/>
      <w:lvlJc w:val="left"/>
      <w:pPr>
        <w:ind w:left="8020" w:hanging="242"/>
      </w:pPr>
      <w:rPr>
        <w:rFonts w:hint="default"/>
        <w:lang w:val="zh-CN" w:eastAsia="zh-CN" w:bidi="zh-CN"/>
      </w:rPr>
    </w:lvl>
  </w:abstractNum>
  <w:abstractNum w:abstractNumId="1">
    <w:multiLevelType w:val="hybridMultilevel"/>
    <w:lvl w:ilvl="0">
      <w:start w:val="1"/>
      <w:numFmt w:val="decimal"/>
      <w:lvlText w:val="%1."/>
      <w:lvlJc w:val="left"/>
      <w:pPr>
        <w:ind w:left="508" w:hanging="245"/>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440" w:hanging="245"/>
      </w:pPr>
      <w:rPr>
        <w:rFonts w:hint="default"/>
        <w:lang w:val="zh-CN" w:eastAsia="zh-CN" w:bidi="zh-CN"/>
      </w:rPr>
    </w:lvl>
    <w:lvl w:ilvl="2">
      <w:start w:val="0"/>
      <w:numFmt w:val="bullet"/>
      <w:lvlText w:val="•"/>
      <w:lvlJc w:val="left"/>
      <w:pPr>
        <w:ind w:left="2380" w:hanging="245"/>
      </w:pPr>
      <w:rPr>
        <w:rFonts w:hint="default"/>
        <w:lang w:val="zh-CN" w:eastAsia="zh-CN" w:bidi="zh-CN"/>
      </w:rPr>
    </w:lvl>
    <w:lvl w:ilvl="3">
      <w:start w:val="0"/>
      <w:numFmt w:val="bullet"/>
      <w:lvlText w:val="•"/>
      <w:lvlJc w:val="left"/>
      <w:pPr>
        <w:ind w:left="3320" w:hanging="245"/>
      </w:pPr>
      <w:rPr>
        <w:rFonts w:hint="default"/>
        <w:lang w:val="zh-CN" w:eastAsia="zh-CN" w:bidi="zh-CN"/>
      </w:rPr>
    </w:lvl>
    <w:lvl w:ilvl="4">
      <w:start w:val="0"/>
      <w:numFmt w:val="bullet"/>
      <w:lvlText w:val="•"/>
      <w:lvlJc w:val="left"/>
      <w:pPr>
        <w:ind w:left="4260" w:hanging="245"/>
      </w:pPr>
      <w:rPr>
        <w:rFonts w:hint="default"/>
        <w:lang w:val="zh-CN" w:eastAsia="zh-CN" w:bidi="zh-CN"/>
      </w:rPr>
    </w:lvl>
    <w:lvl w:ilvl="5">
      <w:start w:val="0"/>
      <w:numFmt w:val="bullet"/>
      <w:lvlText w:val="•"/>
      <w:lvlJc w:val="left"/>
      <w:pPr>
        <w:ind w:left="5200" w:hanging="245"/>
      </w:pPr>
      <w:rPr>
        <w:rFonts w:hint="default"/>
        <w:lang w:val="zh-CN" w:eastAsia="zh-CN" w:bidi="zh-CN"/>
      </w:rPr>
    </w:lvl>
    <w:lvl w:ilvl="6">
      <w:start w:val="0"/>
      <w:numFmt w:val="bullet"/>
      <w:lvlText w:val="•"/>
      <w:lvlJc w:val="left"/>
      <w:pPr>
        <w:ind w:left="6140" w:hanging="245"/>
      </w:pPr>
      <w:rPr>
        <w:rFonts w:hint="default"/>
        <w:lang w:val="zh-CN" w:eastAsia="zh-CN" w:bidi="zh-CN"/>
      </w:rPr>
    </w:lvl>
    <w:lvl w:ilvl="7">
      <w:start w:val="0"/>
      <w:numFmt w:val="bullet"/>
      <w:lvlText w:val="•"/>
      <w:lvlJc w:val="left"/>
      <w:pPr>
        <w:ind w:left="7080" w:hanging="245"/>
      </w:pPr>
      <w:rPr>
        <w:rFonts w:hint="default"/>
        <w:lang w:val="zh-CN" w:eastAsia="zh-CN" w:bidi="zh-CN"/>
      </w:rPr>
    </w:lvl>
    <w:lvl w:ilvl="8">
      <w:start w:val="0"/>
      <w:numFmt w:val="bullet"/>
      <w:lvlText w:val="•"/>
      <w:lvlJc w:val="left"/>
      <w:pPr>
        <w:ind w:left="8020" w:hanging="245"/>
      </w:pPr>
      <w:rPr>
        <w:rFonts w:hint="default"/>
        <w:lang w:val="zh-CN" w:eastAsia="zh-CN" w:bidi="zh-CN"/>
      </w:rPr>
    </w:lvl>
  </w:abstractNum>
  <w:num w:numId="1">
    <w:abstractNumId w:val="0"/>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32"/>
      <w:szCs w:val="32"/>
      <w:lang w:val="zh-CN" w:eastAsia="zh-CN" w:bidi="zh-CN"/>
    </w:rPr>
  </w:style>
  <w:style w:styleId="Heading1" w:type="paragraph">
    <w:name w:val="Heading 1"/>
    <w:basedOn w:val="Normal"/>
    <w:uiPriority w:val="1"/>
    <w:qFormat/>
    <w:pPr>
      <w:ind w:left="1300" w:hanging="1294"/>
      <w:outlineLvl w:val="1"/>
    </w:pPr>
    <w:rPr>
      <w:rFonts w:ascii="方正小标宋简体" w:hAnsi="方正小标宋简体" w:eastAsia="方正小标宋简体" w:cs="方正小标宋简体"/>
      <w:sz w:val="44"/>
      <w:szCs w:val="44"/>
      <w:lang w:val="zh-CN" w:eastAsia="zh-CN" w:bidi="zh-CN"/>
    </w:rPr>
  </w:style>
  <w:style w:styleId="ListParagraph" w:type="paragraph">
    <w:name w:val="List Paragraph"/>
    <w:basedOn w:val="Normal"/>
    <w:uiPriority w:val="1"/>
    <w:qFormat/>
    <w:pPr>
      <w:ind w:left="508" w:firstLine="64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yperlink" Target="mailto:ronghefazhan@163.com" TargetMode="External"/><Relationship Id="rId20" Type="http://schemas.openxmlformats.org/officeDocument/2006/relationships/hyperlink" Target="mailto:aiigd@caict.ac.cn" TargetMode="External"/><Relationship Id="rId21" Type="http://schemas.openxmlformats.org/officeDocument/2006/relationships/footer" Target="footer3.xml"/><Relationship Id="rId22" Type="http://schemas.openxmlformats.org/officeDocument/2006/relationships/footer" Target="footer4.xml"/><Relationship Id="rId23" Type="http://schemas.openxmlformats.org/officeDocument/2006/relationships/footer" Target="footer5.xml"/><Relationship Id="rId24" Type="http://schemas.openxmlformats.org/officeDocument/2006/relationships/footer" Target="footer6.xml"/><Relationship Id="rId25" Type="http://schemas.openxmlformats.org/officeDocument/2006/relationships/footer" Target="footer7.xml"/><Relationship Id="rId26" Type="http://schemas.openxmlformats.org/officeDocument/2006/relationships/footer" Target="footer8.xml"/><Relationship Id="rId27" Type="http://schemas.openxmlformats.org/officeDocument/2006/relationships/footer" Target="footer9.xml"/><Relationship Id="rId28" Type="http://schemas.openxmlformats.org/officeDocument/2006/relationships/footer" Target="footer10.xm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(NTKOOFFICE???? ????????)</dc:title>
  <dcterms:created xsi:type="dcterms:W3CDTF">2019-10-19T01:51:45Z</dcterms:created>
  <dcterms:modified xsi:type="dcterms:W3CDTF">2019-10-19T01:51:45Z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Creator">
    <vt:lpwstr>PDFCreator Version 1.2.3</vt:lpwstr>
  </property>
  <property fmtid="{D5CDD505-2E9C-101B-9397-08002B2CF9AE}" pid="4" name="LastSaved">
    <vt:filetime>2019-10-19T00:00:00Z</vt:filetime>
  </property>
</Properties>
</file>